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4436C" w14:textId="77777777" w:rsidR="00F0180D" w:rsidRDefault="00F0180D" w:rsidP="0065430B">
      <w:pPr>
        <w:pStyle w:val="1"/>
        <w:jc w:val="center"/>
      </w:pPr>
      <w:r>
        <w:t>慢性阻塞性肺疾病高危人群早期筛查与综合干预运营服务项目需求书</w:t>
      </w:r>
    </w:p>
    <w:p w14:paraId="2EBB817E" w14:textId="77777777" w:rsidR="00F0180D" w:rsidRPr="00895240" w:rsidRDefault="00F0180D" w:rsidP="00895240">
      <w:pPr>
        <w:pStyle w:val="1"/>
        <w:keepNext w:val="0"/>
        <w:keepLines w:val="0"/>
        <w:widowControl/>
        <w:spacing w:before="0" w:beforeAutospacing="1" w:after="0" w:afterAutospacing="1" w:line="240" w:lineRule="auto"/>
        <w:jc w:val="left"/>
        <w:rPr>
          <w:rFonts w:ascii="宋体" w:eastAsia="宋体" w:hAnsi="宋体" w:cs="Times New Roman"/>
          <w:bCs/>
          <w:sz w:val="48"/>
          <w:szCs w:val="48"/>
        </w:rPr>
      </w:pPr>
      <w:r w:rsidRPr="00895240">
        <w:rPr>
          <w:rFonts w:ascii="宋体" w:eastAsia="宋体" w:hAnsi="宋体" w:cs="Times New Roman"/>
          <w:bCs/>
          <w:sz w:val="48"/>
          <w:szCs w:val="48"/>
        </w:rPr>
        <w:t>一、项目背景</w:t>
      </w:r>
    </w:p>
    <w:p w14:paraId="6A6390F8" w14:textId="3E974CC5" w:rsidR="00F0180D" w:rsidRPr="00F0180D" w:rsidRDefault="00F8155D" w:rsidP="00F0180D">
      <w:pPr>
        <w:pStyle w:val="2"/>
      </w:pPr>
      <w:r>
        <w:t>（一）</w:t>
      </w:r>
      <w:r w:rsidR="00F0180D">
        <w:t>政策背景</w:t>
      </w:r>
    </w:p>
    <w:p w14:paraId="08BD5DE7" w14:textId="77777777" w:rsidR="00F0180D" w:rsidRDefault="00F0180D" w:rsidP="00F0180D">
      <w:pPr>
        <w:pStyle w:val="a9"/>
        <w:widowControl/>
        <w:spacing w:line="360" w:lineRule="auto"/>
        <w:ind w:firstLineChars="200" w:firstLine="480"/>
        <w:rPr>
          <w:rFonts w:ascii="Times New Roman" w:eastAsia="宋体" w:hAnsi="Times New Roman" w:cs="Times New Roman"/>
          <w:szCs w:val="22"/>
        </w:rPr>
      </w:pPr>
      <w:r>
        <w:rPr>
          <w:rFonts w:ascii="Times New Roman" w:eastAsia="宋体" w:hAnsi="Times New Roman" w:cs="Times New Roman"/>
          <w:szCs w:val="22"/>
        </w:rPr>
        <w:t>依据国家慢性呼吸系统疾病综合防治相关工作部署，持续推进慢阻肺、哮喘高危人群早</w:t>
      </w:r>
      <w:proofErr w:type="gramStart"/>
      <w:r>
        <w:rPr>
          <w:rFonts w:ascii="Times New Roman" w:eastAsia="宋体" w:hAnsi="Times New Roman" w:cs="Times New Roman"/>
          <w:szCs w:val="22"/>
        </w:rPr>
        <w:t>筛早控</w:t>
      </w:r>
      <w:proofErr w:type="gramEnd"/>
      <w:r>
        <w:rPr>
          <w:rFonts w:ascii="Times New Roman" w:eastAsia="宋体" w:hAnsi="Times New Roman" w:cs="Times New Roman"/>
          <w:szCs w:val="22"/>
        </w:rPr>
        <w:t>工作，落实全国慢性呼吸疾病分级诊疗、高危人群长期随访干预管理要求，建立标准化、个性化慢病随访干预体系。国家层面要求全国各项目点常态</w:t>
      </w:r>
      <w:proofErr w:type="gramStart"/>
      <w:r>
        <w:rPr>
          <w:rFonts w:ascii="Times New Roman" w:eastAsia="宋体" w:hAnsi="Times New Roman" w:cs="Times New Roman"/>
          <w:szCs w:val="22"/>
        </w:rPr>
        <w:t>化开展</w:t>
      </w:r>
      <w:proofErr w:type="gramEnd"/>
      <w:r>
        <w:rPr>
          <w:rFonts w:ascii="Times New Roman" w:eastAsia="宋体" w:hAnsi="Times New Roman" w:cs="Times New Roman"/>
          <w:szCs w:val="22"/>
        </w:rPr>
        <w:t>高危人群分层随访、健康干预，严控</w:t>
      </w:r>
      <w:proofErr w:type="gramStart"/>
      <w:r>
        <w:rPr>
          <w:rFonts w:ascii="Times New Roman" w:eastAsia="宋体" w:hAnsi="Times New Roman" w:cs="Times New Roman"/>
          <w:szCs w:val="22"/>
        </w:rPr>
        <w:t>人群失访率</w:t>
      </w:r>
      <w:proofErr w:type="gramEnd"/>
      <w:r>
        <w:rPr>
          <w:rFonts w:ascii="Times New Roman" w:eastAsia="宋体" w:hAnsi="Times New Roman" w:cs="Times New Roman"/>
          <w:szCs w:val="22"/>
        </w:rPr>
        <w:t>，提升慢病长期管理依从性，依托数字化平台实现随访</w:t>
      </w:r>
      <w:proofErr w:type="gramStart"/>
      <w:r>
        <w:rPr>
          <w:rFonts w:ascii="Times New Roman" w:eastAsia="宋体" w:hAnsi="Times New Roman" w:cs="Times New Roman"/>
          <w:szCs w:val="22"/>
        </w:rPr>
        <w:t>干预全</w:t>
      </w:r>
      <w:proofErr w:type="gramEnd"/>
      <w:r>
        <w:rPr>
          <w:rFonts w:ascii="Times New Roman" w:eastAsia="宋体" w:hAnsi="Times New Roman" w:cs="Times New Roman"/>
          <w:szCs w:val="22"/>
        </w:rPr>
        <w:t>流程留痕、数据可追溯、成效可量化考核。</w:t>
      </w:r>
    </w:p>
    <w:p w14:paraId="63C8184B" w14:textId="77777777" w:rsidR="00F0180D" w:rsidRPr="00F0180D" w:rsidRDefault="00F0180D" w:rsidP="00F0180D">
      <w:pPr>
        <w:pStyle w:val="2"/>
      </w:pPr>
      <w:r>
        <w:t>（二）项目现状</w:t>
      </w:r>
    </w:p>
    <w:p w14:paraId="0E58E9FD" w14:textId="77777777" w:rsidR="00F0180D" w:rsidRDefault="00F0180D" w:rsidP="00F0180D">
      <w:pPr>
        <w:pStyle w:val="a9"/>
        <w:widowControl/>
        <w:spacing w:line="360" w:lineRule="auto"/>
        <w:ind w:firstLineChars="200" w:firstLine="480"/>
        <w:rPr>
          <w:rFonts w:ascii="Times New Roman" w:eastAsia="宋体" w:hAnsi="Times New Roman" w:cs="Times New Roman"/>
          <w:szCs w:val="22"/>
        </w:rPr>
      </w:pPr>
      <w:r>
        <w:rPr>
          <w:rFonts w:ascii="Times New Roman" w:eastAsia="宋体" w:hAnsi="Times New Roman" w:cs="Times New Roman"/>
          <w:szCs w:val="22"/>
        </w:rPr>
        <w:t xml:space="preserve">2025 </w:t>
      </w:r>
      <w:r>
        <w:rPr>
          <w:rFonts w:ascii="Times New Roman" w:eastAsia="宋体" w:hAnsi="Times New Roman" w:cs="Times New Roman"/>
          <w:szCs w:val="22"/>
        </w:rPr>
        <w:t>年度已完成全套数字化平台搭建，包含随访问卷系统、</w:t>
      </w:r>
      <w:proofErr w:type="gramStart"/>
      <w:r>
        <w:rPr>
          <w:rFonts w:ascii="Times New Roman" w:eastAsia="宋体" w:hAnsi="Times New Roman" w:cs="Times New Roman"/>
          <w:szCs w:val="22"/>
        </w:rPr>
        <w:t>医</w:t>
      </w:r>
      <w:proofErr w:type="gramEnd"/>
      <w:r>
        <w:rPr>
          <w:rFonts w:ascii="Times New Roman" w:eastAsia="宋体" w:hAnsi="Times New Roman" w:cs="Times New Roman"/>
          <w:szCs w:val="22"/>
        </w:rPr>
        <w:t>患宣教社区、</w:t>
      </w:r>
      <w:r>
        <w:rPr>
          <w:rFonts w:ascii="Times New Roman" w:eastAsia="宋体" w:hAnsi="Times New Roman" w:cs="Times New Roman"/>
          <w:szCs w:val="22"/>
        </w:rPr>
        <w:t xml:space="preserve">AI </w:t>
      </w:r>
      <w:r>
        <w:rPr>
          <w:rFonts w:ascii="Times New Roman" w:eastAsia="宋体" w:hAnsi="Times New Roman" w:cs="Times New Roman"/>
          <w:szCs w:val="22"/>
        </w:rPr>
        <w:t>个性化推荐引擎、线上患者服务中枢，具备完整线上数字化工具支撑。</w:t>
      </w:r>
      <w:r>
        <w:rPr>
          <w:rFonts w:ascii="Times New Roman" w:eastAsia="宋体" w:hAnsi="Times New Roman" w:cs="Times New Roman"/>
          <w:szCs w:val="22"/>
        </w:rPr>
        <w:t xml:space="preserve">2026 </w:t>
      </w:r>
      <w:r>
        <w:rPr>
          <w:rFonts w:ascii="Times New Roman" w:eastAsia="宋体" w:hAnsi="Times New Roman" w:cs="Times New Roman"/>
          <w:szCs w:val="22"/>
        </w:rPr>
        <w:t>年度无需新增软件、硬件开发建设，现有系统存在传统随访模式痛点：基层人力负荷重、随访提醒渠道单一、干预内容标准化不足、人群干预方案同质化、</w:t>
      </w:r>
      <w:proofErr w:type="gramStart"/>
      <w:r>
        <w:rPr>
          <w:rFonts w:ascii="Times New Roman" w:eastAsia="宋体" w:hAnsi="Times New Roman" w:cs="Times New Roman"/>
          <w:szCs w:val="22"/>
        </w:rPr>
        <w:t>失访率</w:t>
      </w:r>
      <w:proofErr w:type="gramEnd"/>
      <w:r>
        <w:rPr>
          <w:rFonts w:ascii="Times New Roman" w:eastAsia="宋体" w:hAnsi="Times New Roman" w:cs="Times New Roman"/>
          <w:szCs w:val="22"/>
        </w:rPr>
        <w:t>偏高、干预成效缺乏统一数据统计分析体系。</w:t>
      </w:r>
      <w:r>
        <w:rPr>
          <w:rFonts w:ascii="Times New Roman" w:eastAsia="宋体" w:hAnsi="Times New Roman" w:cs="Times New Roman"/>
          <w:szCs w:val="22"/>
        </w:rPr>
        <w:t xml:space="preserve"> </w:t>
      </w:r>
      <w:r>
        <w:rPr>
          <w:rFonts w:ascii="Times New Roman" w:eastAsia="宋体" w:hAnsi="Times New Roman" w:cs="Times New Roman"/>
          <w:szCs w:val="22"/>
        </w:rPr>
        <w:t>为解决以上问题，启动</w:t>
      </w:r>
      <w:r>
        <w:rPr>
          <w:rFonts w:ascii="Times New Roman" w:eastAsia="宋体" w:hAnsi="Times New Roman" w:cs="Times New Roman"/>
          <w:szCs w:val="22"/>
        </w:rPr>
        <w:t xml:space="preserve"> 2026 </w:t>
      </w:r>
      <w:r>
        <w:rPr>
          <w:rFonts w:ascii="Times New Roman" w:eastAsia="宋体" w:hAnsi="Times New Roman" w:cs="Times New Roman"/>
          <w:szCs w:val="22"/>
        </w:rPr>
        <w:t>年度慢性呼吸系统疾病高危人群个性化随访干预落地运营服务项目，依托现有数字化平台配置专业运营团队落地分层干预、多渠道智能提醒、常态化平台运维，实现全流程数据归集、指标统计分析，形成标准化干预服务成果，保障全国项目点随访干预绩效任务落地。</w:t>
      </w:r>
    </w:p>
    <w:p w14:paraId="0415423D" w14:textId="77777777" w:rsidR="00F0180D" w:rsidRPr="00895240" w:rsidRDefault="00F0180D" w:rsidP="00895240">
      <w:pPr>
        <w:pStyle w:val="1"/>
        <w:keepNext w:val="0"/>
        <w:keepLines w:val="0"/>
        <w:widowControl/>
        <w:spacing w:before="0" w:beforeAutospacing="1" w:after="0" w:afterAutospacing="1" w:line="240" w:lineRule="auto"/>
        <w:jc w:val="left"/>
        <w:rPr>
          <w:rFonts w:ascii="宋体" w:eastAsia="宋体" w:hAnsi="宋体" w:cs="Times New Roman"/>
          <w:bCs/>
          <w:sz w:val="48"/>
          <w:szCs w:val="48"/>
        </w:rPr>
      </w:pPr>
      <w:r w:rsidRPr="00895240">
        <w:rPr>
          <w:rFonts w:ascii="宋体" w:eastAsia="宋体" w:hAnsi="宋体" w:cs="Times New Roman"/>
          <w:bCs/>
          <w:sz w:val="48"/>
          <w:szCs w:val="48"/>
        </w:rPr>
        <w:t>二、建设内容及交付时间、地点</w:t>
      </w:r>
    </w:p>
    <w:p w14:paraId="56D8EFD2" w14:textId="49C4C9FB" w:rsidR="00F0180D" w:rsidRPr="0085715F" w:rsidRDefault="00F8155D" w:rsidP="0085715F">
      <w:pPr>
        <w:pStyle w:val="2"/>
      </w:pPr>
      <w:r w:rsidRPr="00F8155D">
        <w:t>（一）</w:t>
      </w:r>
      <w:r w:rsidR="00F0180D" w:rsidRPr="00F8155D">
        <w:t>建设内容及数量</w:t>
      </w:r>
    </w:p>
    <w:tbl>
      <w:tblPr>
        <w:tblStyle w:val="aa"/>
        <w:tblW w:w="0" w:type="auto"/>
        <w:tblLook w:val="04A0" w:firstRow="1" w:lastRow="0" w:firstColumn="1" w:lastColumn="0" w:noHBand="0" w:noVBand="1"/>
      </w:tblPr>
      <w:tblGrid>
        <w:gridCol w:w="817"/>
        <w:gridCol w:w="3544"/>
        <w:gridCol w:w="992"/>
        <w:gridCol w:w="2977"/>
      </w:tblGrid>
      <w:tr w:rsidR="00F0180D" w14:paraId="358BD2C2" w14:textId="77777777" w:rsidTr="0085715F">
        <w:tc>
          <w:tcPr>
            <w:tcW w:w="817" w:type="dxa"/>
          </w:tcPr>
          <w:p w14:paraId="5B753F20" w14:textId="77777777" w:rsidR="00F0180D" w:rsidRPr="0085715F" w:rsidRDefault="00F0180D" w:rsidP="00BE464B">
            <w:pPr>
              <w:widowControl/>
              <w:spacing w:line="180" w:lineRule="atLeast"/>
              <w:jc w:val="center"/>
              <w:rPr>
                <w:b/>
                <w:bCs/>
                <w:color w:val="1F2329"/>
                <w:sz w:val="24"/>
              </w:rPr>
            </w:pPr>
            <w:r w:rsidRPr="0085715F">
              <w:rPr>
                <w:rFonts w:ascii="宋体" w:eastAsia="宋体" w:hAnsi="宋体" w:cs="宋体"/>
                <w:b/>
                <w:bCs/>
                <w:color w:val="1F2329"/>
                <w:kern w:val="0"/>
                <w:sz w:val="24"/>
                <w:lang w:bidi="ar"/>
              </w:rPr>
              <w:lastRenderedPageBreak/>
              <w:t>序号</w:t>
            </w:r>
          </w:p>
        </w:tc>
        <w:tc>
          <w:tcPr>
            <w:tcW w:w="3544" w:type="dxa"/>
          </w:tcPr>
          <w:p w14:paraId="3C03A7C9" w14:textId="77777777" w:rsidR="00F0180D" w:rsidRPr="0085715F" w:rsidRDefault="00F0180D" w:rsidP="00BE464B">
            <w:pPr>
              <w:widowControl/>
              <w:spacing w:line="180" w:lineRule="atLeast"/>
              <w:jc w:val="center"/>
              <w:rPr>
                <w:b/>
                <w:bCs/>
                <w:color w:val="1F2329"/>
                <w:sz w:val="24"/>
              </w:rPr>
            </w:pPr>
            <w:r w:rsidRPr="0085715F">
              <w:rPr>
                <w:rFonts w:ascii="宋体" w:eastAsia="宋体" w:hAnsi="宋体" w:cs="宋体"/>
                <w:b/>
                <w:bCs/>
                <w:color w:val="1F2329"/>
                <w:kern w:val="0"/>
                <w:sz w:val="24"/>
                <w:lang w:bidi="ar"/>
              </w:rPr>
              <w:t>名称</w:t>
            </w:r>
          </w:p>
        </w:tc>
        <w:tc>
          <w:tcPr>
            <w:tcW w:w="992" w:type="dxa"/>
          </w:tcPr>
          <w:p w14:paraId="734898D7" w14:textId="77777777" w:rsidR="00F0180D" w:rsidRPr="0085715F" w:rsidRDefault="00F0180D" w:rsidP="00BE464B">
            <w:pPr>
              <w:widowControl/>
              <w:spacing w:line="180" w:lineRule="atLeast"/>
              <w:jc w:val="center"/>
              <w:rPr>
                <w:b/>
                <w:bCs/>
                <w:color w:val="1F2329"/>
                <w:sz w:val="24"/>
              </w:rPr>
            </w:pPr>
            <w:r w:rsidRPr="0085715F">
              <w:rPr>
                <w:rFonts w:ascii="宋体" w:eastAsia="宋体" w:hAnsi="宋体" w:cs="宋体"/>
                <w:b/>
                <w:bCs/>
                <w:color w:val="1F2329"/>
                <w:kern w:val="0"/>
                <w:sz w:val="24"/>
                <w:lang w:bidi="ar"/>
              </w:rPr>
              <w:t>数量</w:t>
            </w:r>
          </w:p>
        </w:tc>
        <w:tc>
          <w:tcPr>
            <w:tcW w:w="2977" w:type="dxa"/>
          </w:tcPr>
          <w:p w14:paraId="431C739B" w14:textId="77777777" w:rsidR="00F0180D" w:rsidRPr="0085715F" w:rsidRDefault="00F0180D" w:rsidP="00BE464B">
            <w:pPr>
              <w:widowControl/>
              <w:spacing w:line="180" w:lineRule="atLeast"/>
              <w:jc w:val="center"/>
              <w:rPr>
                <w:b/>
                <w:bCs/>
                <w:color w:val="1F2329"/>
                <w:sz w:val="24"/>
              </w:rPr>
            </w:pPr>
            <w:r w:rsidRPr="0085715F">
              <w:rPr>
                <w:rFonts w:ascii="宋体" w:eastAsia="宋体" w:hAnsi="宋体" w:cs="宋体"/>
                <w:b/>
                <w:bCs/>
                <w:color w:val="1F2329"/>
                <w:kern w:val="0"/>
                <w:sz w:val="24"/>
                <w:lang w:bidi="ar"/>
              </w:rPr>
              <w:t>是否接受进口产品</w:t>
            </w:r>
          </w:p>
        </w:tc>
      </w:tr>
      <w:tr w:rsidR="00F0180D" w14:paraId="11DC79AB" w14:textId="77777777" w:rsidTr="0085715F">
        <w:tc>
          <w:tcPr>
            <w:tcW w:w="817" w:type="dxa"/>
            <w:vAlign w:val="center"/>
          </w:tcPr>
          <w:p w14:paraId="502120F6" w14:textId="77777777" w:rsidR="00F0180D" w:rsidRPr="0085715F" w:rsidRDefault="00F0180D" w:rsidP="0085715F">
            <w:pPr>
              <w:widowControl/>
              <w:spacing w:line="180" w:lineRule="atLeast"/>
              <w:rPr>
                <w:color w:val="1F2329"/>
                <w:sz w:val="24"/>
              </w:rPr>
            </w:pPr>
            <w:r w:rsidRPr="0085715F">
              <w:rPr>
                <w:rFonts w:ascii="宋体" w:eastAsia="宋体" w:hAnsi="宋体" w:cs="宋体"/>
                <w:color w:val="1F2329"/>
                <w:kern w:val="0"/>
                <w:sz w:val="24"/>
                <w:lang w:bidi="ar"/>
              </w:rPr>
              <w:t>1</w:t>
            </w:r>
          </w:p>
        </w:tc>
        <w:tc>
          <w:tcPr>
            <w:tcW w:w="3544" w:type="dxa"/>
            <w:vAlign w:val="center"/>
          </w:tcPr>
          <w:p w14:paraId="21FA57F5" w14:textId="77777777" w:rsidR="00F0180D" w:rsidRPr="0085715F" w:rsidRDefault="00F0180D" w:rsidP="0085715F">
            <w:pPr>
              <w:widowControl/>
              <w:spacing w:line="180" w:lineRule="atLeast"/>
              <w:rPr>
                <w:color w:val="1F2329"/>
                <w:sz w:val="24"/>
              </w:rPr>
            </w:pPr>
            <w:r w:rsidRPr="0085715F">
              <w:rPr>
                <w:rFonts w:ascii="宋体" w:eastAsia="宋体" w:hAnsi="宋体" w:cs="宋体"/>
                <w:color w:val="1F2329"/>
                <w:kern w:val="0"/>
                <w:sz w:val="24"/>
                <w:lang w:bidi="ar"/>
              </w:rPr>
              <w:t>慢阻肺高危人群早期筛查与综合干预运营服务</w:t>
            </w:r>
          </w:p>
        </w:tc>
        <w:tc>
          <w:tcPr>
            <w:tcW w:w="992" w:type="dxa"/>
            <w:vAlign w:val="center"/>
          </w:tcPr>
          <w:p w14:paraId="1C0D1CA3" w14:textId="77777777" w:rsidR="00F0180D" w:rsidRPr="0085715F" w:rsidRDefault="00F0180D" w:rsidP="0085715F">
            <w:pPr>
              <w:widowControl/>
              <w:spacing w:line="180" w:lineRule="atLeast"/>
              <w:rPr>
                <w:color w:val="1F2329"/>
                <w:sz w:val="24"/>
              </w:rPr>
            </w:pPr>
            <w:r w:rsidRPr="0085715F">
              <w:rPr>
                <w:rFonts w:ascii="宋体" w:eastAsia="宋体" w:hAnsi="宋体" w:cs="宋体"/>
                <w:color w:val="1F2329"/>
                <w:kern w:val="0"/>
                <w:sz w:val="24"/>
                <w:lang w:bidi="ar"/>
              </w:rPr>
              <w:t>1 项</w:t>
            </w:r>
          </w:p>
        </w:tc>
        <w:tc>
          <w:tcPr>
            <w:tcW w:w="2977" w:type="dxa"/>
            <w:vAlign w:val="center"/>
          </w:tcPr>
          <w:p w14:paraId="3E104965" w14:textId="77777777" w:rsidR="00F0180D" w:rsidRPr="0085715F" w:rsidRDefault="00F0180D" w:rsidP="0085715F">
            <w:pPr>
              <w:widowControl/>
              <w:spacing w:line="180" w:lineRule="atLeast"/>
              <w:rPr>
                <w:color w:val="1F2329"/>
                <w:sz w:val="24"/>
              </w:rPr>
            </w:pPr>
            <w:r w:rsidRPr="0085715F">
              <w:rPr>
                <w:rFonts w:ascii="宋体" w:eastAsia="宋体" w:hAnsi="宋体" w:cs="宋体"/>
                <w:color w:val="1F2329"/>
                <w:kern w:val="0"/>
                <w:sz w:val="24"/>
                <w:lang w:bidi="ar"/>
              </w:rPr>
              <w:t>否</w:t>
            </w:r>
          </w:p>
        </w:tc>
      </w:tr>
    </w:tbl>
    <w:p w14:paraId="52343DA8" w14:textId="6068B59F" w:rsidR="00F0180D" w:rsidRDefault="0085715F" w:rsidP="0085715F">
      <w:pPr>
        <w:pStyle w:val="2"/>
      </w:pPr>
      <w:r>
        <w:t>（二）</w:t>
      </w:r>
      <w:r w:rsidR="00F0180D">
        <w:t>交付时间和地点</w:t>
      </w:r>
    </w:p>
    <w:p w14:paraId="0D27A1EF" w14:textId="77777777" w:rsidR="00DF334B" w:rsidRPr="001548C4" w:rsidRDefault="00DF334B" w:rsidP="001548C4">
      <w:pPr>
        <w:pStyle w:val="a9"/>
        <w:widowControl/>
        <w:spacing w:line="360" w:lineRule="auto"/>
        <w:ind w:firstLineChars="200" w:firstLine="480"/>
        <w:rPr>
          <w:rFonts w:ascii="Times New Roman" w:eastAsia="宋体" w:hAnsi="Times New Roman" w:cs="Times New Roman"/>
          <w:szCs w:val="22"/>
        </w:rPr>
      </w:pPr>
      <w:r w:rsidRPr="001548C4">
        <w:rPr>
          <w:rFonts w:ascii="Times New Roman" w:eastAsia="宋体" w:hAnsi="Times New Roman" w:cs="Times New Roman"/>
          <w:szCs w:val="22"/>
        </w:rPr>
        <w:t>交付服务周期：</w:t>
      </w:r>
      <w:r w:rsidRPr="001548C4">
        <w:rPr>
          <w:rFonts w:ascii="Times New Roman" w:eastAsia="宋体" w:hAnsi="Times New Roman" w:cs="Times New Roman"/>
          <w:szCs w:val="22"/>
        </w:rPr>
        <w:t>2026.09.01—2027.09.01</w:t>
      </w:r>
      <w:r w:rsidRPr="001548C4">
        <w:rPr>
          <w:rFonts w:ascii="Times New Roman" w:eastAsia="宋体" w:hAnsi="Times New Roman" w:cs="Times New Roman"/>
          <w:szCs w:val="22"/>
        </w:rPr>
        <w:t>（全年</w:t>
      </w:r>
      <w:r w:rsidRPr="001548C4">
        <w:rPr>
          <w:rFonts w:ascii="Times New Roman" w:eastAsia="宋体" w:hAnsi="Times New Roman" w:cs="Times New Roman"/>
          <w:szCs w:val="22"/>
        </w:rPr>
        <w:t xml:space="preserve"> 12 </w:t>
      </w:r>
      <w:proofErr w:type="gramStart"/>
      <w:r w:rsidRPr="001548C4">
        <w:rPr>
          <w:rFonts w:ascii="Times New Roman" w:eastAsia="宋体" w:hAnsi="Times New Roman" w:cs="Times New Roman"/>
          <w:szCs w:val="22"/>
        </w:rPr>
        <w:t>个</w:t>
      </w:r>
      <w:proofErr w:type="gramEnd"/>
      <w:r w:rsidRPr="001548C4">
        <w:rPr>
          <w:rFonts w:ascii="Times New Roman" w:eastAsia="宋体" w:hAnsi="Times New Roman" w:cs="Times New Roman"/>
          <w:szCs w:val="22"/>
        </w:rPr>
        <w:t>月）</w:t>
      </w:r>
    </w:p>
    <w:p w14:paraId="392E3A23" w14:textId="447C1767" w:rsidR="00F0180D" w:rsidRPr="001548C4" w:rsidRDefault="00DF334B" w:rsidP="001548C4">
      <w:pPr>
        <w:pStyle w:val="a9"/>
        <w:widowControl/>
        <w:spacing w:line="360" w:lineRule="auto"/>
        <w:ind w:firstLineChars="200" w:firstLine="480"/>
        <w:rPr>
          <w:rFonts w:ascii="Times New Roman" w:eastAsia="宋体" w:hAnsi="Times New Roman" w:cs="Times New Roman"/>
          <w:szCs w:val="22"/>
        </w:rPr>
      </w:pPr>
      <w:r w:rsidRPr="001548C4">
        <w:rPr>
          <w:rFonts w:ascii="Times New Roman" w:eastAsia="宋体" w:hAnsi="Times New Roman" w:cs="Times New Roman"/>
          <w:szCs w:val="22"/>
        </w:rPr>
        <w:t>交付地点：中日友好医院指定地点，服务覆盖全国</w:t>
      </w:r>
      <w:r w:rsidRPr="001548C4">
        <w:rPr>
          <w:rFonts w:ascii="Times New Roman" w:eastAsia="宋体" w:hAnsi="Times New Roman" w:cs="Times New Roman"/>
          <w:szCs w:val="22"/>
        </w:rPr>
        <w:t xml:space="preserve"> 31 </w:t>
      </w:r>
      <w:r w:rsidRPr="001548C4">
        <w:rPr>
          <w:rFonts w:ascii="Times New Roman" w:eastAsia="宋体" w:hAnsi="Times New Roman" w:cs="Times New Roman"/>
          <w:szCs w:val="22"/>
        </w:rPr>
        <w:t>省、新疆生产建设兵团</w:t>
      </w:r>
      <w:r w:rsidRPr="001548C4">
        <w:rPr>
          <w:rFonts w:ascii="Times New Roman" w:eastAsia="宋体" w:hAnsi="Times New Roman" w:cs="Times New Roman"/>
          <w:szCs w:val="22"/>
        </w:rPr>
        <w:t xml:space="preserve"> 240 </w:t>
      </w:r>
      <w:proofErr w:type="gramStart"/>
      <w:r w:rsidRPr="001548C4">
        <w:rPr>
          <w:rFonts w:ascii="Times New Roman" w:eastAsia="宋体" w:hAnsi="Times New Roman" w:cs="Times New Roman"/>
          <w:szCs w:val="22"/>
        </w:rPr>
        <w:t>个</w:t>
      </w:r>
      <w:proofErr w:type="gramEnd"/>
      <w:r w:rsidRPr="001548C4">
        <w:rPr>
          <w:rFonts w:ascii="Times New Roman" w:eastAsia="宋体" w:hAnsi="Times New Roman" w:cs="Times New Roman"/>
          <w:szCs w:val="22"/>
        </w:rPr>
        <w:t>早</w:t>
      </w:r>
      <w:proofErr w:type="gramStart"/>
      <w:r w:rsidRPr="001548C4">
        <w:rPr>
          <w:rFonts w:ascii="Times New Roman" w:eastAsia="宋体" w:hAnsi="Times New Roman" w:cs="Times New Roman"/>
          <w:szCs w:val="22"/>
        </w:rPr>
        <w:t>合项目</w:t>
      </w:r>
      <w:proofErr w:type="gramEnd"/>
      <w:r w:rsidRPr="001548C4">
        <w:rPr>
          <w:rFonts w:ascii="Times New Roman" w:eastAsia="宋体" w:hAnsi="Times New Roman" w:cs="Times New Roman"/>
          <w:szCs w:val="22"/>
        </w:rPr>
        <w:t>点，全年预计</w:t>
      </w:r>
      <w:proofErr w:type="gramStart"/>
      <w:r w:rsidRPr="001548C4">
        <w:rPr>
          <w:rFonts w:ascii="Times New Roman" w:eastAsia="宋体" w:hAnsi="Times New Roman" w:cs="Times New Roman"/>
          <w:szCs w:val="22"/>
        </w:rPr>
        <w:t>随访总</w:t>
      </w:r>
      <w:proofErr w:type="gramEnd"/>
      <w:r w:rsidRPr="001548C4">
        <w:rPr>
          <w:rFonts w:ascii="Times New Roman" w:eastAsia="宋体" w:hAnsi="Times New Roman" w:cs="Times New Roman"/>
          <w:szCs w:val="22"/>
        </w:rPr>
        <w:t>人次</w:t>
      </w:r>
      <w:r w:rsidRPr="001548C4">
        <w:rPr>
          <w:rFonts w:ascii="Times New Roman" w:eastAsia="宋体" w:hAnsi="Times New Roman" w:cs="Times New Roman"/>
          <w:szCs w:val="22"/>
        </w:rPr>
        <w:t xml:space="preserve"> 33 </w:t>
      </w:r>
      <w:r w:rsidRPr="001548C4">
        <w:rPr>
          <w:rFonts w:ascii="Times New Roman" w:eastAsia="宋体" w:hAnsi="Times New Roman" w:cs="Times New Roman"/>
          <w:szCs w:val="22"/>
        </w:rPr>
        <w:t>万</w:t>
      </w:r>
      <w:r w:rsidR="00FD1964" w:rsidRPr="001548C4">
        <w:rPr>
          <w:rFonts w:ascii="Times New Roman" w:eastAsia="宋体" w:hAnsi="Times New Roman" w:cs="Times New Roman" w:hint="eastAsia"/>
          <w:szCs w:val="22"/>
        </w:rPr>
        <w:t>。</w:t>
      </w:r>
    </w:p>
    <w:p w14:paraId="3D791DF7" w14:textId="77777777" w:rsidR="00F0180D" w:rsidRPr="00895240" w:rsidRDefault="00F0180D" w:rsidP="00895240">
      <w:pPr>
        <w:pStyle w:val="1"/>
        <w:keepNext w:val="0"/>
        <w:keepLines w:val="0"/>
        <w:widowControl/>
        <w:spacing w:before="0" w:beforeAutospacing="1" w:after="0" w:afterAutospacing="1" w:line="240" w:lineRule="auto"/>
        <w:jc w:val="left"/>
        <w:rPr>
          <w:rFonts w:ascii="宋体" w:eastAsia="宋体" w:hAnsi="宋体" w:cs="Times New Roman"/>
          <w:bCs/>
          <w:sz w:val="48"/>
          <w:szCs w:val="48"/>
        </w:rPr>
      </w:pPr>
      <w:r w:rsidRPr="00895240">
        <w:rPr>
          <w:rFonts w:ascii="宋体" w:eastAsia="宋体" w:hAnsi="宋体" w:cs="Times New Roman"/>
          <w:bCs/>
          <w:sz w:val="48"/>
          <w:szCs w:val="48"/>
        </w:rPr>
        <w:t>三、项目建设原则</w:t>
      </w:r>
    </w:p>
    <w:p w14:paraId="6A7F70FB" w14:textId="77777777" w:rsidR="00F0180D" w:rsidRPr="00A03A9B" w:rsidRDefault="00F0180D" w:rsidP="00E83710">
      <w:pPr>
        <w:pStyle w:val="a9"/>
        <w:widowControl/>
        <w:spacing w:line="360" w:lineRule="auto"/>
        <w:ind w:firstLineChars="200" w:firstLine="482"/>
        <w:rPr>
          <w:rFonts w:ascii="Times New Roman" w:eastAsia="宋体" w:hAnsi="Times New Roman" w:cs="Times New Roman"/>
          <w:szCs w:val="22"/>
        </w:rPr>
      </w:pPr>
      <w:r w:rsidRPr="00CB5092">
        <w:rPr>
          <w:rFonts w:ascii="Times New Roman" w:eastAsia="宋体" w:hAnsi="Times New Roman" w:cs="Times New Roman"/>
          <w:b/>
          <w:bCs/>
          <w:szCs w:val="22"/>
        </w:rPr>
        <w:t>存量复用：</w:t>
      </w:r>
      <w:proofErr w:type="gramStart"/>
      <w:r w:rsidRPr="00A03A9B">
        <w:rPr>
          <w:rFonts w:ascii="Times New Roman" w:eastAsia="宋体" w:hAnsi="Times New Roman" w:cs="Times New Roman"/>
          <w:szCs w:val="22"/>
        </w:rPr>
        <w:t>不</w:t>
      </w:r>
      <w:proofErr w:type="gramEnd"/>
      <w:r w:rsidRPr="00A03A9B">
        <w:rPr>
          <w:rFonts w:ascii="Times New Roman" w:eastAsia="宋体" w:hAnsi="Times New Roman" w:cs="Times New Roman"/>
          <w:szCs w:val="22"/>
        </w:rPr>
        <w:t>新增软硬件开发，完全依托</w:t>
      </w:r>
      <w:r w:rsidRPr="00A03A9B">
        <w:rPr>
          <w:rFonts w:ascii="Times New Roman" w:eastAsia="宋体" w:hAnsi="Times New Roman" w:cs="Times New Roman"/>
          <w:szCs w:val="22"/>
        </w:rPr>
        <w:t xml:space="preserve"> 2025 </w:t>
      </w:r>
      <w:r w:rsidRPr="00A03A9B">
        <w:rPr>
          <w:rFonts w:ascii="Times New Roman" w:eastAsia="宋体" w:hAnsi="Times New Roman" w:cs="Times New Roman"/>
          <w:szCs w:val="22"/>
        </w:rPr>
        <w:t>年建成数字化平台开展运营服务，最大化利用现有系统能力。</w:t>
      </w:r>
    </w:p>
    <w:p w14:paraId="361E4EBC" w14:textId="77777777" w:rsidR="00F0180D" w:rsidRPr="00A03A9B" w:rsidRDefault="00F0180D" w:rsidP="00E83710">
      <w:pPr>
        <w:pStyle w:val="a9"/>
        <w:widowControl/>
        <w:spacing w:line="360" w:lineRule="auto"/>
        <w:ind w:firstLineChars="200" w:firstLine="482"/>
        <w:rPr>
          <w:rFonts w:ascii="Times New Roman" w:eastAsia="宋体" w:hAnsi="Times New Roman" w:cs="Times New Roman"/>
          <w:szCs w:val="22"/>
        </w:rPr>
      </w:pPr>
      <w:r w:rsidRPr="00CB5092">
        <w:rPr>
          <w:rFonts w:ascii="Times New Roman" w:eastAsia="宋体" w:hAnsi="Times New Roman" w:cs="Times New Roman"/>
          <w:b/>
          <w:bCs/>
          <w:szCs w:val="22"/>
        </w:rPr>
        <w:t>精准分层：</w:t>
      </w:r>
      <w:r w:rsidRPr="00A03A9B">
        <w:rPr>
          <w:rFonts w:ascii="Times New Roman" w:eastAsia="宋体" w:hAnsi="Times New Roman" w:cs="Times New Roman"/>
          <w:szCs w:val="22"/>
        </w:rPr>
        <w:t>基于患者多维度标签建立动态人群画像，实现</w:t>
      </w:r>
      <w:r w:rsidRPr="00A03A9B">
        <w:rPr>
          <w:rFonts w:ascii="Times New Roman" w:eastAsia="宋体" w:hAnsi="Times New Roman" w:cs="Times New Roman"/>
          <w:szCs w:val="22"/>
        </w:rPr>
        <w:t xml:space="preserve"> “</w:t>
      </w:r>
      <w:r w:rsidRPr="00A03A9B">
        <w:rPr>
          <w:rFonts w:ascii="Times New Roman" w:eastAsia="宋体" w:hAnsi="Times New Roman" w:cs="Times New Roman"/>
          <w:szCs w:val="22"/>
        </w:rPr>
        <w:t>一人</w:t>
      </w:r>
      <w:proofErr w:type="gramStart"/>
      <w:r w:rsidRPr="00A03A9B">
        <w:rPr>
          <w:rFonts w:ascii="Times New Roman" w:eastAsia="宋体" w:hAnsi="Times New Roman" w:cs="Times New Roman"/>
          <w:szCs w:val="22"/>
        </w:rPr>
        <w:t>一</w:t>
      </w:r>
      <w:proofErr w:type="gramEnd"/>
      <w:r w:rsidRPr="00A03A9B">
        <w:rPr>
          <w:rFonts w:ascii="Times New Roman" w:eastAsia="宋体" w:hAnsi="Times New Roman" w:cs="Times New Roman"/>
          <w:szCs w:val="22"/>
        </w:rPr>
        <w:t>策</w:t>
      </w:r>
      <w:r w:rsidRPr="00A03A9B">
        <w:rPr>
          <w:rFonts w:ascii="Times New Roman" w:eastAsia="宋体" w:hAnsi="Times New Roman" w:cs="Times New Roman"/>
          <w:szCs w:val="22"/>
        </w:rPr>
        <w:t xml:space="preserve">” </w:t>
      </w:r>
      <w:proofErr w:type="gramStart"/>
      <w:r w:rsidRPr="00A03A9B">
        <w:rPr>
          <w:rFonts w:ascii="Times New Roman" w:eastAsia="宋体" w:hAnsi="Times New Roman" w:cs="Times New Roman"/>
          <w:szCs w:val="22"/>
        </w:rPr>
        <w:t>差异化非药物</w:t>
      </w:r>
      <w:proofErr w:type="gramEnd"/>
      <w:r w:rsidRPr="00A03A9B">
        <w:rPr>
          <w:rFonts w:ascii="Times New Roman" w:eastAsia="宋体" w:hAnsi="Times New Roman" w:cs="Times New Roman"/>
          <w:szCs w:val="22"/>
        </w:rPr>
        <w:t>干预，匹配度达标。</w:t>
      </w:r>
    </w:p>
    <w:p w14:paraId="43BF5E4F" w14:textId="77777777" w:rsidR="00F0180D" w:rsidRPr="00A03A9B" w:rsidRDefault="00F0180D" w:rsidP="00E83710">
      <w:pPr>
        <w:pStyle w:val="a9"/>
        <w:widowControl/>
        <w:spacing w:line="360" w:lineRule="auto"/>
        <w:ind w:firstLineChars="200" w:firstLine="482"/>
        <w:rPr>
          <w:rFonts w:ascii="Times New Roman" w:eastAsia="宋体" w:hAnsi="Times New Roman" w:cs="Times New Roman"/>
          <w:szCs w:val="22"/>
        </w:rPr>
      </w:pPr>
      <w:r w:rsidRPr="00CB5092">
        <w:rPr>
          <w:rFonts w:ascii="Times New Roman" w:eastAsia="宋体" w:hAnsi="Times New Roman" w:cs="Times New Roman"/>
          <w:b/>
          <w:bCs/>
          <w:szCs w:val="22"/>
        </w:rPr>
        <w:t>全流程留痕：</w:t>
      </w:r>
      <w:r w:rsidRPr="00A03A9B">
        <w:rPr>
          <w:rFonts w:ascii="Times New Roman" w:eastAsia="宋体" w:hAnsi="Times New Roman" w:cs="Times New Roman"/>
          <w:szCs w:val="22"/>
        </w:rPr>
        <w:t>随访、提醒、干预推送、患者</w:t>
      </w:r>
      <w:proofErr w:type="gramStart"/>
      <w:r w:rsidRPr="00A03A9B">
        <w:rPr>
          <w:rFonts w:ascii="Times New Roman" w:eastAsia="宋体" w:hAnsi="Times New Roman" w:cs="Times New Roman"/>
          <w:szCs w:val="22"/>
        </w:rPr>
        <w:t>反馈全操作</w:t>
      </w:r>
      <w:proofErr w:type="gramEnd"/>
      <w:r w:rsidRPr="00A03A9B">
        <w:rPr>
          <w:rFonts w:ascii="Times New Roman" w:eastAsia="宋体" w:hAnsi="Times New Roman" w:cs="Times New Roman"/>
          <w:szCs w:val="22"/>
        </w:rPr>
        <w:t>记录留存，数据完整可审计、可统计。</w:t>
      </w:r>
    </w:p>
    <w:p w14:paraId="1F91D8A3" w14:textId="77777777" w:rsidR="00F0180D" w:rsidRPr="00A03A9B" w:rsidRDefault="00F0180D" w:rsidP="00E83710">
      <w:pPr>
        <w:pStyle w:val="a9"/>
        <w:widowControl/>
        <w:spacing w:line="360" w:lineRule="auto"/>
        <w:ind w:firstLineChars="200" w:firstLine="482"/>
        <w:rPr>
          <w:rFonts w:ascii="Times New Roman" w:eastAsia="宋体" w:hAnsi="Times New Roman" w:cs="Times New Roman"/>
          <w:szCs w:val="22"/>
        </w:rPr>
      </w:pPr>
      <w:r w:rsidRPr="00CB5092">
        <w:rPr>
          <w:rFonts w:ascii="Times New Roman" w:eastAsia="宋体" w:hAnsi="Times New Roman" w:cs="Times New Roman"/>
          <w:b/>
          <w:bCs/>
          <w:szCs w:val="22"/>
        </w:rPr>
        <w:t>降本减负：</w:t>
      </w:r>
      <w:r w:rsidRPr="00A03A9B">
        <w:rPr>
          <w:rFonts w:ascii="Times New Roman" w:eastAsia="宋体" w:hAnsi="Times New Roman" w:cs="Times New Roman"/>
          <w:szCs w:val="22"/>
        </w:rPr>
        <w:t>依托线上多渠道智能提醒替代大量线下人工工作，降低基层工作人员随访负荷。</w:t>
      </w:r>
    </w:p>
    <w:p w14:paraId="3930BA2F" w14:textId="77777777" w:rsidR="00F0180D" w:rsidRPr="00A03A9B" w:rsidRDefault="00F0180D" w:rsidP="00E83710">
      <w:pPr>
        <w:pStyle w:val="a9"/>
        <w:widowControl/>
        <w:spacing w:line="360" w:lineRule="auto"/>
        <w:ind w:firstLineChars="200" w:firstLine="482"/>
        <w:rPr>
          <w:rFonts w:ascii="Times New Roman" w:eastAsia="宋体" w:hAnsi="Times New Roman" w:cs="Times New Roman"/>
          <w:szCs w:val="22"/>
        </w:rPr>
      </w:pPr>
      <w:r w:rsidRPr="00CB5092">
        <w:rPr>
          <w:rFonts w:ascii="Times New Roman" w:eastAsia="宋体" w:hAnsi="Times New Roman" w:cs="Times New Roman"/>
          <w:b/>
          <w:bCs/>
          <w:szCs w:val="22"/>
        </w:rPr>
        <w:t>安全脱敏：</w:t>
      </w:r>
      <w:r w:rsidRPr="00A03A9B">
        <w:rPr>
          <w:rFonts w:ascii="Times New Roman" w:eastAsia="宋体" w:hAnsi="Times New Roman" w:cs="Times New Roman"/>
          <w:szCs w:val="22"/>
        </w:rPr>
        <w:t>严格管</w:t>
      </w:r>
      <w:proofErr w:type="gramStart"/>
      <w:r w:rsidRPr="00A03A9B">
        <w:rPr>
          <w:rFonts w:ascii="Times New Roman" w:eastAsia="宋体" w:hAnsi="Times New Roman" w:cs="Times New Roman"/>
          <w:szCs w:val="22"/>
        </w:rPr>
        <w:t>控患者</w:t>
      </w:r>
      <w:proofErr w:type="gramEnd"/>
      <w:r w:rsidRPr="00A03A9B">
        <w:rPr>
          <w:rFonts w:ascii="Times New Roman" w:eastAsia="宋体" w:hAnsi="Times New Roman" w:cs="Times New Roman"/>
          <w:szCs w:val="22"/>
        </w:rPr>
        <w:t>隐私数据，运营环节仅使用脱敏标签，严控原始敏感信息导出权限。</w:t>
      </w:r>
    </w:p>
    <w:p w14:paraId="1D63762B" w14:textId="77777777" w:rsidR="00F0180D" w:rsidRPr="00A03A9B" w:rsidRDefault="00F0180D" w:rsidP="00E83710">
      <w:pPr>
        <w:pStyle w:val="a9"/>
        <w:widowControl/>
        <w:spacing w:line="360" w:lineRule="auto"/>
        <w:ind w:firstLineChars="200" w:firstLine="482"/>
        <w:rPr>
          <w:rFonts w:ascii="Times New Roman" w:eastAsia="宋体" w:hAnsi="Times New Roman" w:cs="Times New Roman"/>
          <w:szCs w:val="22"/>
        </w:rPr>
      </w:pPr>
      <w:r w:rsidRPr="00CB5092">
        <w:rPr>
          <w:rFonts w:ascii="Times New Roman" w:eastAsia="宋体" w:hAnsi="Times New Roman" w:cs="Times New Roman"/>
          <w:b/>
          <w:bCs/>
          <w:szCs w:val="22"/>
        </w:rPr>
        <w:t>标准化交付：</w:t>
      </w:r>
      <w:r w:rsidRPr="00A03A9B">
        <w:rPr>
          <w:rFonts w:ascii="Times New Roman" w:eastAsia="宋体" w:hAnsi="Times New Roman" w:cs="Times New Roman"/>
          <w:szCs w:val="22"/>
        </w:rPr>
        <w:t>按月、半年度、年度固定节点</w:t>
      </w:r>
      <w:proofErr w:type="gramStart"/>
      <w:r w:rsidRPr="00A03A9B">
        <w:rPr>
          <w:rFonts w:ascii="Times New Roman" w:eastAsia="宋体" w:hAnsi="Times New Roman" w:cs="Times New Roman"/>
          <w:szCs w:val="22"/>
        </w:rPr>
        <w:t>输出台</w:t>
      </w:r>
      <w:proofErr w:type="gramEnd"/>
      <w:r w:rsidRPr="00A03A9B">
        <w:rPr>
          <w:rFonts w:ascii="Times New Roman" w:eastAsia="宋体" w:hAnsi="Times New Roman" w:cs="Times New Roman"/>
          <w:szCs w:val="22"/>
        </w:rPr>
        <w:t>账、报表、干预方案等标准化交付成果。</w:t>
      </w:r>
    </w:p>
    <w:p w14:paraId="0BB901FA" w14:textId="77777777" w:rsidR="00F0180D" w:rsidRPr="00A03A9B" w:rsidRDefault="00F0180D" w:rsidP="00E83710">
      <w:pPr>
        <w:pStyle w:val="a9"/>
        <w:widowControl/>
        <w:spacing w:line="360" w:lineRule="auto"/>
        <w:ind w:firstLineChars="200" w:firstLine="482"/>
        <w:rPr>
          <w:rFonts w:ascii="Times New Roman" w:eastAsia="宋体" w:hAnsi="Times New Roman" w:cs="Times New Roman"/>
          <w:szCs w:val="22"/>
        </w:rPr>
      </w:pPr>
      <w:r w:rsidRPr="00CB5092">
        <w:rPr>
          <w:rFonts w:ascii="Times New Roman" w:eastAsia="宋体" w:hAnsi="Times New Roman" w:cs="Times New Roman"/>
          <w:b/>
          <w:bCs/>
          <w:szCs w:val="22"/>
        </w:rPr>
        <w:t>风险可控：</w:t>
      </w:r>
      <w:r w:rsidRPr="00A03A9B">
        <w:rPr>
          <w:rFonts w:ascii="Times New Roman" w:eastAsia="宋体" w:hAnsi="Times New Roman" w:cs="Times New Roman"/>
          <w:szCs w:val="22"/>
        </w:rPr>
        <w:t>建立分级故障响应机制，保障随访提醒、干预推送业务不间断运行。</w:t>
      </w:r>
    </w:p>
    <w:p w14:paraId="538D89B1" w14:textId="77777777" w:rsidR="00F0180D" w:rsidRPr="00A03A9B" w:rsidRDefault="00F0180D" w:rsidP="00E83710">
      <w:pPr>
        <w:pStyle w:val="a9"/>
        <w:widowControl/>
        <w:spacing w:line="360" w:lineRule="auto"/>
        <w:ind w:firstLineChars="200" w:firstLine="482"/>
        <w:rPr>
          <w:rFonts w:ascii="Times New Roman" w:eastAsia="宋体" w:hAnsi="Times New Roman" w:cs="Times New Roman"/>
          <w:szCs w:val="22"/>
        </w:rPr>
      </w:pPr>
      <w:r w:rsidRPr="00CB5092">
        <w:rPr>
          <w:rFonts w:ascii="Times New Roman" w:eastAsia="宋体" w:hAnsi="Times New Roman" w:cs="Times New Roman"/>
          <w:b/>
          <w:bCs/>
          <w:szCs w:val="22"/>
        </w:rPr>
        <w:lastRenderedPageBreak/>
        <w:t>可量化考核：</w:t>
      </w:r>
      <w:r w:rsidRPr="00A03A9B">
        <w:rPr>
          <w:rFonts w:ascii="Times New Roman" w:eastAsia="宋体" w:hAnsi="Times New Roman" w:cs="Times New Roman"/>
          <w:szCs w:val="22"/>
        </w:rPr>
        <w:t>所有服务成果设置明确量化指标，</w:t>
      </w:r>
      <w:proofErr w:type="gramStart"/>
      <w:r w:rsidRPr="00A03A9B">
        <w:rPr>
          <w:rFonts w:ascii="Times New Roman" w:eastAsia="宋体" w:hAnsi="Times New Roman" w:cs="Times New Roman"/>
          <w:szCs w:val="22"/>
        </w:rPr>
        <w:t>干预触达率</w:t>
      </w:r>
      <w:proofErr w:type="gramEnd"/>
      <w:r w:rsidRPr="00A03A9B">
        <w:rPr>
          <w:rFonts w:ascii="Times New Roman" w:eastAsia="宋体" w:hAnsi="Times New Roman" w:cs="Times New Roman"/>
          <w:szCs w:val="22"/>
        </w:rPr>
        <w:t>、方案匹配度等数据可自动统计校验。</w:t>
      </w:r>
    </w:p>
    <w:p w14:paraId="77E83C24" w14:textId="77777777" w:rsidR="00F0180D" w:rsidRPr="00895240" w:rsidRDefault="00F0180D" w:rsidP="00895240">
      <w:pPr>
        <w:pStyle w:val="1"/>
        <w:keepNext w:val="0"/>
        <w:keepLines w:val="0"/>
        <w:widowControl/>
        <w:spacing w:before="0" w:beforeAutospacing="1" w:after="0" w:afterAutospacing="1" w:line="240" w:lineRule="auto"/>
        <w:jc w:val="left"/>
        <w:rPr>
          <w:rFonts w:ascii="宋体" w:eastAsia="宋体" w:hAnsi="宋体" w:cs="Times New Roman"/>
          <w:bCs/>
          <w:sz w:val="48"/>
          <w:szCs w:val="48"/>
        </w:rPr>
      </w:pPr>
      <w:r w:rsidRPr="00895240">
        <w:rPr>
          <w:rFonts w:ascii="宋体" w:eastAsia="宋体" w:hAnsi="宋体" w:cs="Times New Roman"/>
          <w:bCs/>
          <w:sz w:val="48"/>
          <w:szCs w:val="48"/>
        </w:rPr>
        <w:t>四、项目建设要求</w:t>
      </w:r>
    </w:p>
    <w:p w14:paraId="34D90A82" w14:textId="77777777" w:rsidR="00DF334B" w:rsidRPr="002452B1" w:rsidRDefault="00DF334B" w:rsidP="002452B1">
      <w:pPr>
        <w:pStyle w:val="2"/>
      </w:pPr>
      <w:r w:rsidRPr="002452B1">
        <w:t>（一）服务功能要求</w:t>
      </w:r>
    </w:p>
    <w:p w14:paraId="0574EF21"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本项目仅提供运营服务，不交付软硬件产品。执行「</w:t>
      </w:r>
      <w:r w:rsidRPr="002452B1">
        <w:rPr>
          <w:rFonts w:ascii="Times New Roman" w:eastAsia="宋体" w:hAnsi="Times New Roman" w:cs="Times New Roman"/>
          <w:szCs w:val="22"/>
        </w:rPr>
        <w:t xml:space="preserve">6 </w:t>
      </w:r>
      <w:proofErr w:type="gramStart"/>
      <w:r w:rsidRPr="002452B1">
        <w:rPr>
          <w:rFonts w:ascii="Times New Roman" w:eastAsia="宋体" w:hAnsi="Times New Roman" w:cs="Times New Roman"/>
          <w:szCs w:val="22"/>
        </w:rPr>
        <w:t>个月电话</w:t>
      </w:r>
      <w:proofErr w:type="gramEnd"/>
      <w:r w:rsidRPr="002452B1">
        <w:rPr>
          <w:rFonts w:ascii="Times New Roman" w:eastAsia="宋体" w:hAnsi="Times New Roman" w:cs="Times New Roman"/>
          <w:szCs w:val="22"/>
        </w:rPr>
        <w:t>随访</w:t>
      </w:r>
      <w:r w:rsidRPr="002452B1">
        <w:rPr>
          <w:rFonts w:ascii="Times New Roman" w:eastAsia="宋体" w:hAnsi="Times New Roman" w:cs="Times New Roman"/>
          <w:szCs w:val="22"/>
        </w:rPr>
        <w:t xml:space="preserve"> + </w:t>
      </w:r>
      <w:r w:rsidRPr="002452B1">
        <w:rPr>
          <w:rFonts w:ascii="Times New Roman" w:eastAsia="宋体" w:hAnsi="Times New Roman" w:cs="Times New Roman"/>
          <w:szCs w:val="22"/>
        </w:rPr>
        <w:t>年度线下面对面随访」双周期机制，分层个性化非药物干预嵌入</w:t>
      </w:r>
      <w:proofErr w:type="gramStart"/>
      <w:r w:rsidRPr="002452B1">
        <w:rPr>
          <w:rFonts w:ascii="Times New Roman" w:eastAsia="宋体" w:hAnsi="Times New Roman" w:cs="Times New Roman"/>
          <w:szCs w:val="22"/>
        </w:rPr>
        <w:t>随访全</w:t>
      </w:r>
      <w:proofErr w:type="gramEnd"/>
      <w:r w:rsidRPr="002452B1">
        <w:rPr>
          <w:rFonts w:ascii="Times New Roman" w:eastAsia="宋体" w:hAnsi="Times New Roman" w:cs="Times New Roman"/>
          <w:szCs w:val="22"/>
        </w:rPr>
        <w:t>周期，完成</w:t>
      </w:r>
      <w:r w:rsidRPr="002452B1">
        <w:rPr>
          <w:rFonts w:ascii="Times New Roman" w:eastAsia="宋体" w:hAnsi="Times New Roman" w:cs="Times New Roman"/>
          <w:szCs w:val="22"/>
        </w:rPr>
        <w:t xml:space="preserve"> 33 </w:t>
      </w:r>
      <w:r w:rsidRPr="002452B1">
        <w:rPr>
          <w:rFonts w:ascii="Times New Roman" w:eastAsia="宋体" w:hAnsi="Times New Roman" w:cs="Times New Roman"/>
          <w:szCs w:val="22"/>
        </w:rPr>
        <w:t>万预估人次高危人群随访干预；按月、季度、年度归集随访提醒、个性化干预推送、患者</w:t>
      </w:r>
      <w:proofErr w:type="gramStart"/>
      <w:r w:rsidRPr="002452B1">
        <w:rPr>
          <w:rFonts w:ascii="Times New Roman" w:eastAsia="宋体" w:hAnsi="Times New Roman" w:cs="Times New Roman"/>
          <w:szCs w:val="22"/>
        </w:rPr>
        <w:t>反馈全</w:t>
      </w:r>
      <w:proofErr w:type="gramEnd"/>
      <w:r w:rsidRPr="002452B1">
        <w:rPr>
          <w:rFonts w:ascii="Times New Roman" w:eastAsia="宋体" w:hAnsi="Times New Roman" w:cs="Times New Roman"/>
          <w:szCs w:val="22"/>
        </w:rPr>
        <w:t>流程运营数据，输出按疾病分层统计分析报告。整体业务流程：构建患者动态画像</w:t>
      </w:r>
      <w:r w:rsidRPr="002452B1">
        <w:rPr>
          <w:rFonts w:ascii="Times New Roman" w:eastAsia="宋体" w:hAnsi="Times New Roman" w:cs="Times New Roman"/>
          <w:szCs w:val="22"/>
        </w:rPr>
        <w:t>→</w:t>
      </w:r>
      <w:r w:rsidRPr="002452B1">
        <w:rPr>
          <w:rFonts w:ascii="Times New Roman" w:eastAsia="宋体" w:hAnsi="Times New Roman" w:cs="Times New Roman"/>
          <w:szCs w:val="22"/>
        </w:rPr>
        <w:t>制定一人</w:t>
      </w:r>
      <w:proofErr w:type="gramStart"/>
      <w:r w:rsidRPr="002452B1">
        <w:rPr>
          <w:rFonts w:ascii="Times New Roman" w:eastAsia="宋体" w:hAnsi="Times New Roman" w:cs="Times New Roman"/>
          <w:szCs w:val="22"/>
        </w:rPr>
        <w:t>一</w:t>
      </w:r>
      <w:proofErr w:type="gramEnd"/>
      <w:r w:rsidRPr="002452B1">
        <w:rPr>
          <w:rFonts w:ascii="Times New Roman" w:eastAsia="宋体" w:hAnsi="Times New Roman" w:cs="Times New Roman"/>
          <w:szCs w:val="22"/>
        </w:rPr>
        <w:t>策干预方案</w:t>
      </w:r>
      <w:r w:rsidRPr="002452B1">
        <w:rPr>
          <w:rFonts w:ascii="Times New Roman" w:eastAsia="宋体" w:hAnsi="Times New Roman" w:cs="Times New Roman"/>
          <w:szCs w:val="22"/>
        </w:rPr>
        <w:t>→</w:t>
      </w:r>
      <w:r w:rsidRPr="002452B1">
        <w:rPr>
          <w:rFonts w:ascii="Times New Roman" w:eastAsia="宋体" w:hAnsi="Times New Roman" w:cs="Times New Roman"/>
          <w:szCs w:val="22"/>
        </w:rPr>
        <w:t>制作随访计划表</w:t>
      </w:r>
      <w:r w:rsidRPr="002452B1">
        <w:rPr>
          <w:rFonts w:ascii="Times New Roman" w:eastAsia="宋体" w:hAnsi="Times New Roman" w:cs="Times New Roman"/>
          <w:szCs w:val="22"/>
        </w:rPr>
        <w:t>→</w:t>
      </w:r>
      <w:r w:rsidRPr="002452B1">
        <w:rPr>
          <w:rFonts w:ascii="Times New Roman" w:eastAsia="宋体" w:hAnsi="Times New Roman" w:cs="Times New Roman"/>
          <w:szCs w:val="22"/>
        </w:rPr>
        <w:t>多渠道分级提醒</w:t>
      </w:r>
      <w:r w:rsidRPr="002452B1">
        <w:rPr>
          <w:rFonts w:ascii="Times New Roman" w:eastAsia="宋体" w:hAnsi="Times New Roman" w:cs="Times New Roman"/>
          <w:szCs w:val="22"/>
        </w:rPr>
        <w:t>→</w:t>
      </w:r>
      <w:r w:rsidRPr="002452B1">
        <w:rPr>
          <w:rFonts w:ascii="Times New Roman" w:eastAsia="宋体" w:hAnsi="Times New Roman" w:cs="Times New Roman"/>
          <w:szCs w:val="22"/>
        </w:rPr>
        <w:t>推送干预内容并收集反馈</w:t>
      </w:r>
      <w:r w:rsidRPr="002452B1">
        <w:rPr>
          <w:rFonts w:ascii="Times New Roman" w:eastAsia="宋体" w:hAnsi="Times New Roman" w:cs="Times New Roman"/>
          <w:szCs w:val="22"/>
        </w:rPr>
        <w:t>→</w:t>
      </w:r>
      <w:r w:rsidRPr="002452B1">
        <w:rPr>
          <w:rFonts w:ascii="Times New Roman" w:eastAsia="宋体" w:hAnsi="Times New Roman" w:cs="Times New Roman"/>
          <w:szCs w:val="22"/>
        </w:rPr>
        <w:t>按月汇总数据、输出</w:t>
      </w:r>
      <w:proofErr w:type="gramStart"/>
      <w:r w:rsidRPr="002452B1">
        <w:rPr>
          <w:rFonts w:ascii="Times New Roman" w:eastAsia="宋体" w:hAnsi="Times New Roman" w:cs="Times New Roman"/>
          <w:szCs w:val="22"/>
        </w:rPr>
        <w:t>各类台账</w:t>
      </w:r>
      <w:proofErr w:type="gramEnd"/>
      <w:r w:rsidRPr="002452B1">
        <w:rPr>
          <w:rFonts w:ascii="Times New Roman" w:eastAsia="宋体" w:hAnsi="Times New Roman" w:cs="Times New Roman"/>
          <w:szCs w:val="22"/>
        </w:rPr>
        <w:t>报表。</w:t>
      </w:r>
    </w:p>
    <w:p w14:paraId="7206668E" w14:textId="77777777" w:rsidR="00DF334B" w:rsidRPr="002452B1" w:rsidRDefault="00DF334B" w:rsidP="002452B1">
      <w:pPr>
        <w:pStyle w:val="3"/>
      </w:pPr>
      <w:r w:rsidRPr="002452B1">
        <w:t>1. 分层个性化 “一人</w:t>
      </w:r>
      <w:proofErr w:type="gramStart"/>
      <w:r w:rsidRPr="002452B1">
        <w:t>一</w:t>
      </w:r>
      <w:proofErr w:type="gramEnd"/>
      <w:r w:rsidRPr="002452B1">
        <w:t>策” 干预方案制作</w:t>
      </w:r>
    </w:p>
    <w:p w14:paraId="7A993DCF"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1</w:t>
      </w:r>
      <w:r w:rsidRPr="002452B1">
        <w:rPr>
          <w:rFonts w:ascii="Times New Roman" w:eastAsia="宋体" w:hAnsi="Times New Roman" w:cs="Times New Roman"/>
          <w:szCs w:val="22"/>
        </w:rPr>
        <w:t>）形成全维</w:t>
      </w:r>
      <w:proofErr w:type="gramStart"/>
      <w:r w:rsidRPr="002452B1">
        <w:rPr>
          <w:rFonts w:ascii="Times New Roman" w:eastAsia="宋体" w:hAnsi="Times New Roman" w:cs="Times New Roman"/>
          <w:szCs w:val="22"/>
        </w:rPr>
        <w:t>度患者</w:t>
      </w:r>
      <w:proofErr w:type="gramEnd"/>
      <w:r w:rsidRPr="002452B1">
        <w:rPr>
          <w:rFonts w:ascii="Times New Roman" w:eastAsia="宋体" w:hAnsi="Times New Roman" w:cs="Times New Roman"/>
          <w:szCs w:val="22"/>
        </w:rPr>
        <w:t>画像，整合患者病种、风险等级、肺功能指标、吸烟史、年龄、合并症、既往随访反馈等</w:t>
      </w:r>
      <w:r w:rsidRPr="002452B1">
        <w:rPr>
          <w:rFonts w:ascii="Times New Roman" w:eastAsia="宋体" w:hAnsi="Times New Roman" w:cs="Times New Roman"/>
          <w:szCs w:val="22"/>
        </w:rPr>
        <w:t xml:space="preserve"> 7 </w:t>
      </w:r>
      <w:r w:rsidRPr="002452B1">
        <w:rPr>
          <w:rFonts w:ascii="Times New Roman" w:eastAsia="宋体" w:hAnsi="Times New Roman" w:cs="Times New Roman"/>
          <w:szCs w:val="22"/>
        </w:rPr>
        <w:t>大类标签，建立动态画像；</w:t>
      </w:r>
    </w:p>
    <w:p w14:paraId="63E52183"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2</w:t>
      </w:r>
      <w:r w:rsidRPr="002452B1">
        <w:rPr>
          <w:rFonts w:ascii="Times New Roman" w:eastAsia="宋体" w:hAnsi="Times New Roman" w:cs="Times New Roman"/>
          <w:szCs w:val="22"/>
        </w:rPr>
        <w:t>）制定一人</w:t>
      </w:r>
      <w:proofErr w:type="gramStart"/>
      <w:r w:rsidRPr="002452B1">
        <w:rPr>
          <w:rFonts w:ascii="Times New Roman" w:eastAsia="宋体" w:hAnsi="Times New Roman" w:cs="Times New Roman"/>
          <w:szCs w:val="22"/>
        </w:rPr>
        <w:t>一</w:t>
      </w:r>
      <w:proofErr w:type="gramEnd"/>
      <w:r w:rsidRPr="002452B1">
        <w:rPr>
          <w:rFonts w:ascii="Times New Roman" w:eastAsia="宋体" w:hAnsi="Times New Roman" w:cs="Times New Roman"/>
          <w:szCs w:val="22"/>
        </w:rPr>
        <w:t>策干预规则，区分慢阻肺高危人群、哮喘高危人群、慢阻肺确诊人群、哮喘确诊人群四大人群，匹配</w:t>
      </w:r>
      <w:proofErr w:type="gramStart"/>
      <w:r w:rsidRPr="002452B1">
        <w:rPr>
          <w:rFonts w:ascii="Times New Roman" w:eastAsia="宋体" w:hAnsi="Times New Roman" w:cs="Times New Roman"/>
          <w:szCs w:val="22"/>
        </w:rPr>
        <w:t>差异化非药物</w:t>
      </w:r>
      <w:proofErr w:type="gramEnd"/>
      <w:r w:rsidRPr="002452B1">
        <w:rPr>
          <w:rFonts w:ascii="Times New Roman" w:eastAsia="宋体" w:hAnsi="Times New Roman" w:cs="Times New Roman"/>
          <w:szCs w:val="22"/>
        </w:rPr>
        <w:t>干预包；全套干预覆盖健康教育、随访关怀、症状自评、家庭照护、线上社群互助五大非药物干预模块；</w:t>
      </w:r>
    </w:p>
    <w:p w14:paraId="68438D68"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3</w:t>
      </w:r>
      <w:r w:rsidRPr="002452B1">
        <w:rPr>
          <w:rFonts w:ascii="Times New Roman" w:eastAsia="宋体" w:hAnsi="Times New Roman" w:cs="Times New Roman"/>
          <w:szCs w:val="22"/>
        </w:rPr>
        <w:t>）形成</w:t>
      </w:r>
      <w:r w:rsidRPr="002452B1">
        <w:rPr>
          <w:rFonts w:ascii="Times New Roman" w:eastAsia="宋体" w:hAnsi="Times New Roman" w:cs="Times New Roman"/>
          <w:szCs w:val="22"/>
        </w:rPr>
        <w:t xml:space="preserve"> 2026 </w:t>
      </w:r>
      <w:r w:rsidRPr="002452B1">
        <w:rPr>
          <w:rFonts w:ascii="Times New Roman" w:eastAsia="宋体" w:hAnsi="Times New Roman" w:cs="Times New Roman"/>
          <w:szCs w:val="22"/>
        </w:rPr>
        <w:t>年版干预内容库，包含图文宣教素材，内容严格依从慢阻肺、哮喘诊疗指南，专业匹配度</w:t>
      </w:r>
      <w:r w:rsidRPr="002452B1">
        <w:rPr>
          <w:rFonts w:ascii="Times New Roman" w:eastAsia="宋体" w:hAnsi="Times New Roman" w:cs="Times New Roman"/>
          <w:szCs w:val="22"/>
        </w:rPr>
        <w:t>≥95%</w:t>
      </w:r>
      <w:r w:rsidRPr="002452B1">
        <w:rPr>
          <w:rFonts w:ascii="Times New Roman" w:eastAsia="宋体" w:hAnsi="Times New Roman" w:cs="Times New Roman"/>
          <w:szCs w:val="22"/>
        </w:rPr>
        <w:t>；</w:t>
      </w:r>
    </w:p>
    <w:p w14:paraId="0294C16D"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4</w:t>
      </w:r>
      <w:r w:rsidRPr="002452B1">
        <w:rPr>
          <w:rFonts w:ascii="Times New Roman" w:eastAsia="宋体" w:hAnsi="Times New Roman" w:cs="Times New Roman"/>
          <w:szCs w:val="22"/>
        </w:rPr>
        <w:t>）干预</w:t>
      </w:r>
      <w:proofErr w:type="gramStart"/>
      <w:r w:rsidRPr="002452B1">
        <w:rPr>
          <w:rFonts w:ascii="Times New Roman" w:eastAsia="宋体" w:hAnsi="Times New Roman" w:cs="Times New Roman"/>
          <w:szCs w:val="22"/>
        </w:rPr>
        <w:t>触达过程</w:t>
      </w:r>
      <w:proofErr w:type="gramEnd"/>
      <w:r w:rsidRPr="002452B1">
        <w:rPr>
          <w:rFonts w:ascii="Times New Roman" w:eastAsia="宋体" w:hAnsi="Times New Roman" w:cs="Times New Roman"/>
          <w:szCs w:val="22"/>
        </w:rPr>
        <w:t>全流程留痕统计：记录每条内容推送对象、送达时间、问卷反馈，按月汇总</w:t>
      </w:r>
      <w:proofErr w:type="gramStart"/>
      <w:r w:rsidRPr="002452B1">
        <w:rPr>
          <w:rFonts w:ascii="Times New Roman" w:eastAsia="宋体" w:hAnsi="Times New Roman" w:cs="Times New Roman"/>
          <w:szCs w:val="22"/>
        </w:rPr>
        <w:t>干预触达率</w:t>
      </w:r>
      <w:proofErr w:type="gramEnd"/>
      <w:r w:rsidRPr="002452B1">
        <w:rPr>
          <w:rFonts w:ascii="Times New Roman" w:eastAsia="宋体" w:hAnsi="Times New Roman" w:cs="Times New Roman"/>
          <w:szCs w:val="22"/>
        </w:rPr>
        <w:t>、人群参与度报表。</w:t>
      </w:r>
    </w:p>
    <w:p w14:paraId="1FCD22A1"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配套交付物：患者画像、干预规则手册、一人</w:t>
      </w:r>
      <w:proofErr w:type="gramStart"/>
      <w:r w:rsidRPr="002452B1">
        <w:rPr>
          <w:rFonts w:ascii="Times New Roman" w:eastAsia="宋体" w:hAnsi="Times New Roman" w:cs="Times New Roman"/>
          <w:szCs w:val="22"/>
        </w:rPr>
        <w:t>一</w:t>
      </w:r>
      <w:proofErr w:type="gramEnd"/>
      <w:r w:rsidRPr="002452B1">
        <w:rPr>
          <w:rFonts w:ascii="Times New Roman" w:eastAsia="宋体" w:hAnsi="Times New Roman" w:cs="Times New Roman"/>
          <w:szCs w:val="22"/>
        </w:rPr>
        <w:t>策干预方案、年度干预素材库、干预方案推送明细台账、月度干预参与度分析报表。</w:t>
      </w:r>
    </w:p>
    <w:p w14:paraId="1BB63E87" w14:textId="77777777" w:rsidR="00DF334B" w:rsidRPr="002452B1" w:rsidRDefault="00DF334B" w:rsidP="002452B1">
      <w:pPr>
        <w:pStyle w:val="3"/>
      </w:pPr>
      <w:r w:rsidRPr="002452B1">
        <w:lastRenderedPageBreak/>
        <w:t>2. 干预计划、提醒、发送、记录服务</w:t>
      </w:r>
    </w:p>
    <w:p w14:paraId="398988D3"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1</w:t>
      </w:r>
      <w:r w:rsidRPr="002452B1">
        <w:rPr>
          <w:rFonts w:ascii="Times New Roman" w:eastAsia="宋体" w:hAnsi="Times New Roman" w:cs="Times New Roman"/>
          <w:szCs w:val="22"/>
        </w:rPr>
        <w:t>）根据方案要求制作</w:t>
      </w:r>
      <w:r w:rsidRPr="002452B1">
        <w:rPr>
          <w:rFonts w:ascii="Times New Roman" w:eastAsia="宋体" w:hAnsi="Times New Roman" w:cs="Times New Roman"/>
          <w:szCs w:val="22"/>
        </w:rPr>
        <w:t xml:space="preserve"> 6 </w:t>
      </w:r>
      <w:proofErr w:type="gramStart"/>
      <w:r w:rsidRPr="002452B1">
        <w:rPr>
          <w:rFonts w:ascii="Times New Roman" w:eastAsia="宋体" w:hAnsi="Times New Roman" w:cs="Times New Roman"/>
          <w:szCs w:val="22"/>
        </w:rPr>
        <w:t>个月电话</w:t>
      </w:r>
      <w:proofErr w:type="gramEnd"/>
      <w:r w:rsidRPr="002452B1">
        <w:rPr>
          <w:rFonts w:ascii="Times New Roman" w:eastAsia="宋体" w:hAnsi="Times New Roman" w:cs="Times New Roman"/>
          <w:szCs w:val="22"/>
        </w:rPr>
        <w:t>随访、年度线下肺随访的名单和计划表；</w:t>
      </w:r>
    </w:p>
    <w:p w14:paraId="6C52E0F0"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2</w:t>
      </w:r>
      <w:r w:rsidRPr="002452B1">
        <w:rPr>
          <w:rFonts w:ascii="Times New Roman" w:eastAsia="宋体" w:hAnsi="Times New Roman" w:cs="Times New Roman"/>
          <w:szCs w:val="22"/>
        </w:rPr>
        <w:t>）分两次短信提醒执行人员和患者，分别提前</w:t>
      </w:r>
      <w:r w:rsidRPr="002452B1">
        <w:rPr>
          <w:rFonts w:ascii="Times New Roman" w:eastAsia="宋体" w:hAnsi="Times New Roman" w:cs="Times New Roman"/>
          <w:szCs w:val="22"/>
        </w:rPr>
        <w:t xml:space="preserve"> 15 </w:t>
      </w:r>
      <w:r w:rsidRPr="002452B1">
        <w:rPr>
          <w:rFonts w:ascii="Times New Roman" w:eastAsia="宋体" w:hAnsi="Times New Roman" w:cs="Times New Roman"/>
          <w:szCs w:val="22"/>
        </w:rPr>
        <w:t>天和</w:t>
      </w:r>
      <w:r w:rsidRPr="002452B1">
        <w:rPr>
          <w:rFonts w:ascii="Times New Roman" w:eastAsia="宋体" w:hAnsi="Times New Roman" w:cs="Times New Roman"/>
          <w:szCs w:val="22"/>
        </w:rPr>
        <w:t xml:space="preserve"> 7 </w:t>
      </w:r>
      <w:r w:rsidRPr="002452B1">
        <w:rPr>
          <w:rFonts w:ascii="Times New Roman" w:eastAsia="宋体" w:hAnsi="Times New Roman" w:cs="Times New Roman"/>
          <w:szCs w:val="22"/>
        </w:rPr>
        <w:t>天；</w:t>
      </w:r>
    </w:p>
    <w:p w14:paraId="428C52AB"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3</w:t>
      </w:r>
      <w:r w:rsidRPr="002452B1">
        <w:rPr>
          <w:rFonts w:ascii="Times New Roman" w:eastAsia="宋体" w:hAnsi="Times New Roman" w:cs="Times New Roman"/>
          <w:szCs w:val="22"/>
        </w:rPr>
        <w:t>）提前向执行人员下发干预方案文件包；在既定干预时间向患者推送对应干预方案，收集患者反馈；</w:t>
      </w:r>
    </w:p>
    <w:p w14:paraId="1C4C5126"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4</w:t>
      </w:r>
      <w:r w:rsidRPr="002452B1">
        <w:rPr>
          <w:rFonts w:ascii="Times New Roman" w:eastAsia="宋体" w:hAnsi="Times New Roman" w:cs="Times New Roman"/>
          <w:szCs w:val="22"/>
        </w:rPr>
        <w:t>）二重分级触达：一级</w:t>
      </w:r>
      <w:proofErr w:type="gramStart"/>
      <w:r w:rsidRPr="002452B1">
        <w:rPr>
          <w:rFonts w:ascii="Times New Roman" w:eastAsia="宋体" w:hAnsi="Times New Roman" w:cs="Times New Roman"/>
          <w:szCs w:val="22"/>
        </w:rPr>
        <w:t>微信公众号</w:t>
      </w:r>
      <w:proofErr w:type="gramEnd"/>
      <w:r w:rsidRPr="002452B1">
        <w:rPr>
          <w:rFonts w:ascii="Times New Roman" w:eastAsia="宋体" w:hAnsi="Times New Roman" w:cs="Times New Roman"/>
          <w:szCs w:val="22"/>
        </w:rPr>
        <w:t>全覆盖推送随访通知与健康小贴士；二级定向发送随访提醒短信；</w:t>
      </w:r>
    </w:p>
    <w:p w14:paraId="36D1EF47"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5</w:t>
      </w:r>
      <w:r w:rsidRPr="002452B1">
        <w:rPr>
          <w:rFonts w:ascii="Times New Roman" w:eastAsia="宋体" w:hAnsi="Times New Roman" w:cs="Times New Roman"/>
          <w:szCs w:val="22"/>
        </w:rPr>
        <w:t>）首次推送</w:t>
      </w:r>
      <w:r w:rsidRPr="002452B1">
        <w:rPr>
          <w:rFonts w:ascii="Times New Roman" w:eastAsia="宋体" w:hAnsi="Times New Roman" w:cs="Times New Roman"/>
          <w:szCs w:val="22"/>
        </w:rPr>
        <w:t xml:space="preserve"> 7 </w:t>
      </w:r>
      <w:r w:rsidRPr="002452B1">
        <w:rPr>
          <w:rFonts w:ascii="Times New Roman" w:eastAsia="宋体" w:hAnsi="Times New Roman" w:cs="Times New Roman"/>
          <w:szCs w:val="22"/>
        </w:rPr>
        <w:t>日内未打开的随访人群，启动二次复提醒，</w:t>
      </w:r>
      <w:proofErr w:type="gramStart"/>
      <w:r w:rsidRPr="002452B1">
        <w:rPr>
          <w:rFonts w:ascii="Times New Roman" w:eastAsia="宋体" w:hAnsi="Times New Roman" w:cs="Times New Roman"/>
          <w:szCs w:val="22"/>
        </w:rPr>
        <w:t>降低失访概率</w:t>
      </w:r>
      <w:proofErr w:type="gramEnd"/>
      <w:r w:rsidRPr="002452B1">
        <w:rPr>
          <w:rFonts w:ascii="Times New Roman" w:eastAsia="宋体" w:hAnsi="Times New Roman" w:cs="Times New Roman"/>
          <w:szCs w:val="22"/>
        </w:rPr>
        <w:t>；</w:t>
      </w:r>
    </w:p>
    <w:p w14:paraId="2ED553C8"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6</w:t>
      </w:r>
      <w:r w:rsidRPr="002452B1">
        <w:rPr>
          <w:rFonts w:ascii="Times New Roman" w:eastAsia="宋体" w:hAnsi="Times New Roman" w:cs="Times New Roman"/>
          <w:szCs w:val="22"/>
        </w:rPr>
        <w:t>）按月汇总短信提醒送达率、</w:t>
      </w:r>
      <w:proofErr w:type="gramStart"/>
      <w:r w:rsidRPr="002452B1">
        <w:rPr>
          <w:rFonts w:ascii="Times New Roman" w:eastAsia="宋体" w:hAnsi="Times New Roman" w:cs="Times New Roman"/>
          <w:szCs w:val="22"/>
        </w:rPr>
        <w:t>干预触达率</w:t>
      </w:r>
      <w:proofErr w:type="gramEnd"/>
      <w:r w:rsidRPr="002452B1">
        <w:rPr>
          <w:rFonts w:ascii="Times New Roman" w:eastAsia="宋体" w:hAnsi="Times New Roman" w:cs="Times New Roman"/>
          <w:szCs w:val="22"/>
        </w:rPr>
        <w:t>，输出专项分析报表。</w:t>
      </w:r>
    </w:p>
    <w:p w14:paraId="48FBE317"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配套交付物：名单和计划表、提醒记录、</w:t>
      </w:r>
      <w:proofErr w:type="gramStart"/>
      <w:r w:rsidRPr="002452B1">
        <w:rPr>
          <w:rFonts w:ascii="Times New Roman" w:eastAsia="宋体" w:hAnsi="Times New Roman" w:cs="Times New Roman"/>
          <w:szCs w:val="22"/>
        </w:rPr>
        <w:t>触达记录</w:t>
      </w:r>
      <w:proofErr w:type="gramEnd"/>
      <w:r w:rsidRPr="002452B1">
        <w:rPr>
          <w:rFonts w:ascii="Times New Roman" w:eastAsia="宋体" w:hAnsi="Times New Roman" w:cs="Times New Roman"/>
          <w:szCs w:val="22"/>
        </w:rPr>
        <w:t>、</w:t>
      </w:r>
      <w:proofErr w:type="gramStart"/>
      <w:r w:rsidRPr="002452B1">
        <w:rPr>
          <w:rFonts w:ascii="Times New Roman" w:eastAsia="宋体" w:hAnsi="Times New Roman" w:cs="Times New Roman"/>
          <w:szCs w:val="22"/>
        </w:rPr>
        <w:t>月度专项</w:t>
      </w:r>
      <w:proofErr w:type="gramEnd"/>
      <w:r w:rsidRPr="002452B1">
        <w:rPr>
          <w:rFonts w:ascii="Times New Roman" w:eastAsia="宋体" w:hAnsi="Times New Roman" w:cs="Times New Roman"/>
          <w:szCs w:val="22"/>
        </w:rPr>
        <w:t>报告。</w:t>
      </w:r>
    </w:p>
    <w:p w14:paraId="0243D57B" w14:textId="77777777" w:rsidR="00DF334B" w:rsidRPr="002452B1" w:rsidRDefault="00DF334B" w:rsidP="002452B1">
      <w:pPr>
        <w:pStyle w:val="2"/>
      </w:pPr>
      <w:r w:rsidRPr="002452B1">
        <w:t>（二）技术支撑要求</w:t>
      </w:r>
    </w:p>
    <w:p w14:paraId="7F618747"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依托</w:t>
      </w:r>
      <w:r w:rsidRPr="002452B1">
        <w:rPr>
          <w:rFonts w:ascii="Times New Roman" w:eastAsia="宋体" w:hAnsi="Times New Roman" w:cs="Times New Roman"/>
          <w:szCs w:val="22"/>
        </w:rPr>
        <w:t xml:space="preserve"> 2025 </w:t>
      </w:r>
      <w:r w:rsidRPr="002452B1">
        <w:rPr>
          <w:rFonts w:ascii="Times New Roman" w:eastAsia="宋体" w:hAnsi="Times New Roman" w:cs="Times New Roman"/>
          <w:szCs w:val="22"/>
        </w:rPr>
        <w:t>年建成的随访问卷系统、</w:t>
      </w:r>
      <w:proofErr w:type="gramStart"/>
      <w:r w:rsidRPr="002452B1">
        <w:rPr>
          <w:rFonts w:ascii="Times New Roman" w:eastAsia="宋体" w:hAnsi="Times New Roman" w:cs="Times New Roman"/>
          <w:szCs w:val="22"/>
        </w:rPr>
        <w:t>医</w:t>
      </w:r>
      <w:proofErr w:type="gramEnd"/>
      <w:r w:rsidRPr="002452B1">
        <w:rPr>
          <w:rFonts w:ascii="Times New Roman" w:eastAsia="宋体" w:hAnsi="Times New Roman" w:cs="Times New Roman"/>
          <w:szCs w:val="22"/>
        </w:rPr>
        <w:t>患宣教社区、</w:t>
      </w:r>
      <w:r w:rsidRPr="002452B1">
        <w:rPr>
          <w:rFonts w:ascii="Times New Roman" w:eastAsia="宋体" w:hAnsi="Times New Roman" w:cs="Times New Roman"/>
          <w:szCs w:val="22"/>
        </w:rPr>
        <w:t xml:space="preserve">AI </w:t>
      </w:r>
      <w:r w:rsidRPr="002452B1">
        <w:rPr>
          <w:rFonts w:ascii="Times New Roman" w:eastAsia="宋体" w:hAnsi="Times New Roman" w:cs="Times New Roman"/>
          <w:szCs w:val="22"/>
        </w:rPr>
        <w:t>个性化推荐引擎、线上患者服务中枢开展运营，无需新增开发；</w:t>
      </w:r>
    </w:p>
    <w:p w14:paraId="5B8FA674"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系统所有推送、数据修改、账号调整操作日志留存</w:t>
      </w:r>
      <w:r w:rsidRPr="002452B1">
        <w:rPr>
          <w:rFonts w:ascii="Times New Roman" w:eastAsia="宋体" w:hAnsi="Times New Roman" w:cs="Times New Roman"/>
          <w:szCs w:val="22"/>
        </w:rPr>
        <w:t xml:space="preserve">≥3 </w:t>
      </w:r>
      <w:r w:rsidRPr="002452B1">
        <w:rPr>
          <w:rFonts w:ascii="Times New Roman" w:eastAsia="宋体" w:hAnsi="Times New Roman" w:cs="Times New Roman"/>
          <w:szCs w:val="22"/>
        </w:rPr>
        <w:t>年，全程可审计；</w:t>
      </w:r>
    </w:p>
    <w:p w14:paraId="30F1A40E"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支持短信、</w:t>
      </w:r>
      <w:proofErr w:type="gramStart"/>
      <w:r w:rsidRPr="002452B1">
        <w:rPr>
          <w:rFonts w:ascii="Times New Roman" w:eastAsia="宋体" w:hAnsi="Times New Roman" w:cs="Times New Roman"/>
          <w:szCs w:val="22"/>
        </w:rPr>
        <w:t>微信公众号</w:t>
      </w:r>
      <w:proofErr w:type="gramEnd"/>
      <w:r w:rsidRPr="002452B1">
        <w:rPr>
          <w:rFonts w:ascii="Times New Roman" w:eastAsia="宋体" w:hAnsi="Times New Roman" w:cs="Times New Roman"/>
          <w:szCs w:val="22"/>
        </w:rPr>
        <w:t>多渠道消息推送；</w:t>
      </w:r>
    </w:p>
    <w:p w14:paraId="412F86DA"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数据集全脱敏，去除姓名、手机号等患者唯一标识；</w:t>
      </w:r>
    </w:p>
    <w:p w14:paraId="575523E6"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运营人员无批量导出完整患者信息权限，原始隐私数据仅存储官方业务系统，运营环节仅调取脱敏标签。</w:t>
      </w:r>
    </w:p>
    <w:p w14:paraId="784F0C10" w14:textId="77777777" w:rsidR="00DF334B" w:rsidRPr="002452B1" w:rsidRDefault="00DF334B" w:rsidP="002452B1">
      <w:pPr>
        <w:pStyle w:val="2"/>
      </w:pPr>
      <w:r w:rsidRPr="002452B1">
        <w:t>（三）接口要求</w:t>
      </w:r>
    </w:p>
    <w:p w14:paraId="0B8EB608"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lastRenderedPageBreak/>
        <w:t>与存量随访问卷、宣教、</w:t>
      </w:r>
      <w:r w:rsidRPr="002452B1">
        <w:rPr>
          <w:rFonts w:ascii="Times New Roman" w:eastAsia="宋体" w:hAnsi="Times New Roman" w:cs="Times New Roman"/>
          <w:szCs w:val="22"/>
        </w:rPr>
        <w:t xml:space="preserve">AI </w:t>
      </w:r>
      <w:r w:rsidRPr="002452B1">
        <w:rPr>
          <w:rFonts w:ascii="Times New Roman" w:eastAsia="宋体" w:hAnsi="Times New Roman" w:cs="Times New Roman"/>
          <w:szCs w:val="22"/>
        </w:rPr>
        <w:t>推荐、线上患者服务平台完整对接，自动同步随访、干预数据；</w:t>
      </w:r>
    </w:p>
    <w:p w14:paraId="7CE9F9E3"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对接短信、</w:t>
      </w:r>
      <w:proofErr w:type="gramStart"/>
      <w:r w:rsidRPr="002452B1">
        <w:rPr>
          <w:rFonts w:ascii="Times New Roman" w:eastAsia="宋体" w:hAnsi="Times New Roman" w:cs="Times New Roman"/>
          <w:szCs w:val="22"/>
        </w:rPr>
        <w:t>微信公众号</w:t>
      </w:r>
      <w:proofErr w:type="gramEnd"/>
      <w:r w:rsidRPr="002452B1">
        <w:rPr>
          <w:rFonts w:ascii="Times New Roman" w:eastAsia="宋体" w:hAnsi="Times New Roman" w:cs="Times New Roman"/>
          <w:szCs w:val="22"/>
        </w:rPr>
        <w:t>推送接口，保障分级提醒、健康素材稳定推送；</w:t>
      </w:r>
    </w:p>
    <w:p w14:paraId="37248761"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支持标准化台账、报表批量导出；</w:t>
      </w:r>
    </w:p>
    <w:p w14:paraId="0F6A6F48"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接口具备扩展性，可适配后续新增随访渠道需求。</w:t>
      </w:r>
    </w:p>
    <w:p w14:paraId="4C524AAF" w14:textId="77777777" w:rsidR="00DF334B" w:rsidRPr="00895240" w:rsidRDefault="00DF334B" w:rsidP="00895240">
      <w:pPr>
        <w:pStyle w:val="1"/>
        <w:keepNext w:val="0"/>
        <w:keepLines w:val="0"/>
        <w:widowControl/>
        <w:spacing w:before="0" w:beforeAutospacing="1" w:after="0" w:afterAutospacing="1" w:line="240" w:lineRule="auto"/>
        <w:jc w:val="left"/>
        <w:rPr>
          <w:rFonts w:ascii="宋体" w:eastAsia="宋体" w:hAnsi="宋体" w:cs="Times New Roman"/>
          <w:bCs/>
          <w:sz w:val="48"/>
          <w:szCs w:val="48"/>
        </w:rPr>
      </w:pPr>
      <w:r w:rsidRPr="00895240">
        <w:rPr>
          <w:rFonts w:ascii="宋体" w:eastAsia="宋体" w:hAnsi="宋体" w:cs="Times New Roman"/>
          <w:bCs/>
          <w:sz w:val="48"/>
          <w:szCs w:val="48"/>
        </w:rPr>
        <w:t>五、项目服务周期及团队人员要求</w:t>
      </w:r>
    </w:p>
    <w:p w14:paraId="0C08097F" w14:textId="77777777" w:rsidR="00DF334B" w:rsidRPr="002452B1" w:rsidRDefault="00DF334B" w:rsidP="002452B1">
      <w:pPr>
        <w:pStyle w:val="2"/>
      </w:pPr>
      <w:r w:rsidRPr="002452B1">
        <w:t>（一）项目实施周期</w:t>
      </w:r>
    </w:p>
    <w:p w14:paraId="2B611286" w14:textId="4658B80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本项目服务周期</w:t>
      </w:r>
      <w:r w:rsidRPr="002452B1">
        <w:rPr>
          <w:rFonts w:ascii="Times New Roman" w:eastAsia="宋体" w:hAnsi="Times New Roman" w:cs="Times New Roman"/>
          <w:szCs w:val="22"/>
        </w:rPr>
        <w:t xml:space="preserve"> 12 </w:t>
      </w:r>
      <w:proofErr w:type="gramStart"/>
      <w:r w:rsidRPr="002452B1">
        <w:rPr>
          <w:rFonts w:ascii="Times New Roman" w:eastAsia="宋体" w:hAnsi="Times New Roman" w:cs="Times New Roman"/>
          <w:szCs w:val="22"/>
        </w:rPr>
        <w:t>个</w:t>
      </w:r>
      <w:proofErr w:type="gramEnd"/>
      <w:r w:rsidRPr="002452B1">
        <w:rPr>
          <w:rFonts w:ascii="Times New Roman" w:eastAsia="宋体" w:hAnsi="Times New Roman" w:cs="Times New Roman"/>
          <w:szCs w:val="22"/>
        </w:rPr>
        <w:t>月（</w:t>
      </w:r>
      <w:r w:rsidRPr="002452B1">
        <w:rPr>
          <w:rFonts w:ascii="Times New Roman" w:eastAsia="宋体" w:hAnsi="Times New Roman" w:cs="Times New Roman"/>
          <w:szCs w:val="22"/>
        </w:rPr>
        <w:t>2026.09.01—2027.09.01</w:t>
      </w:r>
      <w:r w:rsidRPr="002452B1">
        <w:rPr>
          <w:rFonts w:ascii="Times New Roman" w:eastAsia="宋体" w:hAnsi="Times New Roman" w:cs="Times New Roman"/>
          <w:szCs w:val="22"/>
        </w:rPr>
        <w:t>），按月按期交付月度成果；</w:t>
      </w:r>
      <w:r w:rsidR="00AB3367">
        <w:rPr>
          <w:rFonts w:ascii="Times New Roman" w:eastAsia="宋体" w:hAnsi="Times New Roman" w:cs="Times New Roman" w:hint="eastAsia"/>
          <w:szCs w:val="22"/>
        </w:rPr>
        <w:t>次</w:t>
      </w:r>
      <w:r w:rsidRPr="002452B1">
        <w:rPr>
          <w:rFonts w:ascii="Times New Roman" w:eastAsia="宋体" w:hAnsi="Times New Roman" w:cs="Times New Roman"/>
          <w:szCs w:val="22"/>
        </w:rPr>
        <w:t>年</w:t>
      </w:r>
      <w:r w:rsidRPr="002452B1">
        <w:rPr>
          <w:rFonts w:ascii="Times New Roman" w:eastAsia="宋体" w:hAnsi="Times New Roman" w:cs="Times New Roman"/>
          <w:szCs w:val="22"/>
        </w:rPr>
        <w:t xml:space="preserve"> </w:t>
      </w:r>
      <w:r w:rsidR="00895240">
        <w:rPr>
          <w:rFonts w:ascii="Times New Roman" w:eastAsia="宋体" w:hAnsi="Times New Roman" w:cs="Times New Roman" w:hint="eastAsia"/>
          <w:szCs w:val="22"/>
        </w:rPr>
        <w:t>4</w:t>
      </w:r>
      <w:r w:rsidRPr="002452B1">
        <w:rPr>
          <w:rFonts w:ascii="Times New Roman" w:eastAsia="宋体" w:hAnsi="Times New Roman" w:cs="Times New Roman"/>
          <w:szCs w:val="22"/>
        </w:rPr>
        <w:t>月上旬交付半年度综合评估报告；次年</w:t>
      </w:r>
      <w:r w:rsidRPr="002452B1">
        <w:rPr>
          <w:rFonts w:ascii="Times New Roman" w:eastAsia="宋体" w:hAnsi="Times New Roman" w:cs="Times New Roman"/>
          <w:szCs w:val="22"/>
        </w:rPr>
        <w:t xml:space="preserve"> </w:t>
      </w:r>
      <w:r w:rsidR="00AB3367">
        <w:rPr>
          <w:rFonts w:ascii="Times New Roman" w:eastAsia="宋体" w:hAnsi="Times New Roman" w:cs="Times New Roman" w:hint="eastAsia"/>
          <w:szCs w:val="22"/>
        </w:rPr>
        <w:t>10</w:t>
      </w:r>
      <w:r w:rsidRPr="002452B1">
        <w:rPr>
          <w:rFonts w:ascii="Times New Roman" w:eastAsia="宋体" w:hAnsi="Times New Roman" w:cs="Times New Roman"/>
          <w:szCs w:val="22"/>
        </w:rPr>
        <w:t xml:space="preserve"> </w:t>
      </w:r>
      <w:r w:rsidRPr="002452B1">
        <w:rPr>
          <w:rFonts w:ascii="Times New Roman" w:eastAsia="宋体" w:hAnsi="Times New Roman" w:cs="Times New Roman"/>
          <w:szCs w:val="22"/>
        </w:rPr>
        <w:t>月上旬交付全套年度专项交付成果。</w:t>
      </w:r>
    </w:p>
    <w:p w14:paraId="461059CC" w14:textId="77777777" w:rsidR="00DF334B" w:rsidRPr="002452B1" w:rsidRDefault="00DF334B" w:rsidP="002452B1">
      <w:pPr>
        <w:pStyle w:val="2"/>
      </w:pPr>
      <w:r w:rsidRPr="002452B1">
        <w:t>（二）项目团队人员配置要求</w:t>
      </w:r>
    </w:p>
    <w:p w14:paraId="6932C720" w14:textId="29E3C2D7" w:rsidR="00DF334B" w:rsidRDefault="00DF334B" w:rsidP="00895240">
      <w:pPr>
        <w:pStyle w:val="a9"/>
        <w:widowControl/>
        <w:spacing w:line="360" w:lineRule="auto"/>
        <w:ind w:firstLineChars="200" w:firstLine="480"/>
        <w:rPr>
          <w:rFonts w:ascii="Times New Roman" w:eastAsia="宋体" w:hAnsi="Times New Roman" w:cs="Times New Roman" w:hint="eastAsia"/>
          <w:szCs w:val="22"/>
        </w:rPr>
      </w:pPr>
      <w:r w:rsidRPr="002452B1">
        <w:rPr>
          <w:rFonts w:ascii="Times New Roman" w:eastAsia="宋体" w:hAnsi="Times New Roman" w:cs="Times New Roman"/>
          <w:szCs w:val="22"/>
        </w:rPr>
        <w:t>本项目最低配置</w:t>
      </w:r>
      <w:r w:rsidRPr="002452B1">
        <w:rPr>
          <w:rFonts w:ascii="Times New Roman" w:eastAsia="宋体" w:hAnsi="Times New Roman" w:cs="Times New Roman"/>
          <w:szCs w:val="22"/>
        </w:rPr>
        <w:t xml:space="preserve"> 6 </w:t>
      </w:r>
      <w:r w:rsidRPr="002452B1">
        <w:rPr>
          <w:rFonts w:ascii="Times New Roman" w:eastAsia="宋体" w:hAnsi="Times New Roman" w:cs="Times New Roman"/>
          <w:szCs w:val="22"/>
        </w:rPr>
        <w:t>名专职工作人员，岗位配置及职责如下：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0"/>
        <w:gridCol w:w="1255"/>
        <w:gridCol w:w="5591"/>
      </w:tblGrid>
      <w:tr w:rsidR="00895240" w:rsidRPr="00895240" w14:paraId="293EEAA7" w14:textId="77777777" w:rsidTr="00895240">
        <w:trPr>
          <w:tblHeader/>
        </w:trPr>
        <w:tc>
          <w:tcPr>
            <w:tcW w:w="0" w:type="auto"/>
            <w:tcMar>
              <w:top w:w="120" w:type="dxa"/>
              <w:left w:w="120" w:type="dxa"/>
              <w:bottom w:w="120" w:type="dxa"/>
              <w:right w:w="120" w:type="dxa"/>
            </w:tcMar>
            <w:vAlign w:val="center"/>
            <w:hideMark/>
          </w:tcPr>
          <w:p w14:paraId="33B1BEC2" w14:textId="77777777" w:rsidR="00895240" w:rsidRPr="00895240" w:rsidRDefault="00895240" w:rsidP="00895240">
            <w:pPr>
              <w:pStyle w:val="a9"/>
              <w:spacing w:line="360" w:lineRule="auto"/>
              <w:ind w:firstLineChars="200" w:firstLine="482"/>
              <w:rPr>
                <w:rFonts w:ascii="Times New Roman" w:eastAsia="宋体" w:hAnsi="Times New Roman" w:cs="Times New Roman"/>
                <w:b/>
                <w:bCs/>
                <w:szCs w:val="22"/>
              </w:rPr>
            </w:pPr>
            <w:r w:rsidRPr="00895240">
              <w:rPr>
                <w:rFonts w:ascii="Times New Roman" w:eastAsia="宋体" w:hAnsi="Times New Roman" w:cs="Times New Roman"/>
                <w:b/>
                <w:bCs/>
                <w:szCs w:val="22"/>
              </w:rPr>
              <w:t>岗位</w:t>
            </w:r>
          </w:p>
        </w:tc>
        <w:tc>
          <w:tcPr>
            <w:tcW w:w="734" w:type="pct"/>
            <w:tcMar>
              <w:top w:w="120" w:type="dxa"/>
              <w:left w:w="120" w:type="dxa"/>
              <w:bottom w:w="120" w:type="dxa"/>
              <w:right w:w="120" w:type="dxa"/>
            </w:tcMar>
            <w:vAlign w:val="center"/>
            <w:hideMark/>
          </w:tcPr>
          <w:p w14:paraId="44EFE26E" w14:textId="77777777" w:rsidR="00895240" w:rsidRPr="00895240" w:rsidRDefault="00895240" w:rsidP="00895240">
            <w:pPr>
              <w:pStyle w:val="a9"/>
              <w:spacing w:line="360" w:lineRule="auto"/>
              <w:rPr>
                <w:rFonts w:ascii="Times New Roman" w:eastAsia="宋体" w:hAnsi="Times New Roman" w:cs="Times New Roman"/>
                <w:b/>
                <w:bCs/>
                <w:szCs w:val="22"/>
              </w:rPr>
            </w:pPr>
            <w:r w:rsidRPr="00895240">
              <w:rPr>
                <w:rFonts w:ascii="Times New Roman" w:eastAsia="宋体" w:hAnsi="Times New Roman" w:cs="Times New Roman"/>
                <w:b/>
                <w:bCs/>
                <w:szCs w:val="22"/>
              </w:rPr>
              <w:t>人数</w:t>
            </w:r>
          </w:p>
        </w:tc>
        <w:tc>
          <w:tcPr>
            <w:tcW w:w="3271" w:type="pct"/>
            <w:tcMar>
              <w:top w:w="120" w:type="dxa"/>
              <w:left w:w="120" w:type="dxa"/>
              <w:bottom w:w="120" w:type="dxa"/>
              <w:right w:w="120" w:type="dxa"/>
            </w:tcMar>
            <w:vAlign w:val="center"/>
            <w:hideMark/>
          </w:tcPr>
          <w:p w14:paraId="41CE7A84" w14:textId="77777777" w:rsidR="00895240" w:rsidRPr="00895240" w:rsidRDefault="00895240" w:rsidP="00895240">
            <w:pPr>
              <w:pStyle w:val="a9"/>
              <w:spacing w:line="360" w:lineRule="auto"/>
              <w:ind w:firstLineChars="200" w:firstLine="482"/>
              <w:rPr>
                <w:rFonts w:ascii="Times New Roman" w:eastAsia="宋体" w:hAnsi="Times New Roman" w:cs="Times New Roman"/>
                <w:b/>
                <w:bCs/>
                <w:szCs w:val="22"/>
              </w:rPr>
            </w:pPr>
            <w:r w:rsidRPr="00895240">
              <w:rPr>
                <w:rFonts w:ascii="Times New Roman" w:eastAsia="宋体" w:hAnsi="Times New Roman" w:cs="Times New Roman"/>
                <w:b/>
                <w:bCs/>
                <w:szCs w:val="22"/>
              </w:rPr>
              <w:t>核心岗位职责</w:t>
            </w:r>
          </w:p>
        </w:tc>
      </w:tr>
      <w:tr w:rsidR="00895240" w:rsidRPr="00895240" w14:paraId="5F0C4148" w14:textId="77777777" w:rsidTr="00895240">
        <w:tc>
          <w:tcPr>
            <w:tcW w:w="0" w:type="auto"/>
            <w:tcMar>
              <w:top w:w="120" w:type="dxa"/>
              <w:left w:w="120" w:type="dxa"/>
              <w:bottom w:w="120" w:type="dxa"/>
              <w:right w:w="120" w:type="dxa"/>
            </w:tcMar>
            <w:vAlign w:val="center"/>
            <w:hideMark/>
          </w:tcPr>
          <w:p w14:paraId="6DBCD431" w14:textId="77777777" w:rsidR="00895240" w:rsidRPr="00895240" w:rsidRDefault="00895240" w:rsidP="00895240">
            <w:pPr>
              <w:pStyle w:val="a9"/>
              <w:spacing w:line="360" w:lineRule="auto"/>
              <w:rPr>
                <w:rFonts w:ascii="Times New Roman" w:eastAsia="宋体" w:hAnsi="Times New Roman" w:cs="Times New Roman"/>
                <w:szCs w:val="22"/>
              </w:rPr>
            </w:pPr>
            <w:r w:rsidRPr="00895240">
              <w:rPr>
                <w:rFonts w:ascii="Times New Roman" w:eastAsia="宋体" w:hAnsi="Times New Roman" w:cs="Times New Roman"/>
                <w:szCs w:val="22"/>
              </w:rPr>
              <w:t>项目总负责人</w:t>
            </w:r>
          </w:p>
        </w:tc>
        <w:tc>
          <w:tcPr>
            <w:tcW w:w="734" w:type="pct"/>
            <w:tcMar>
              <w:top w:w="120" w:type="dxa"/>
              <w:left w:w="120" w:type="dxa"/>
              <w:bottom w:w="120" w:type="dxa"/>
              <w:right w:w="120" w:type="dxa"/>
            </w:tcMar>
            <w:vAlign w:val="center"/>
            <w:hideMark/>
          </w:tcPr>
          <w:p w14:paraId="00255F9B" w14:textId="77777777" w:rsidR="00895240" w:rsidRPr="00895240" w:rsidRDefault="00895240" w:rsidP="00895240">
            <w:pPr>
              <w:pStyle w:val="a9"/>
              <w:spacing w:line="360" w:lineRule="auto"/>
              <w:ind w:firstLineChars="200" w:firstLine="480"/>
              <w:rPr>
                <w:rFonts w:ascii="Times New Roman" w:eastAsia="宋体" w:hAnsi="Times New Roman" w:cs="Times New Roman"/>
                <w:szCs w:val="22"/>
              </w:rPr>
            </w:pPr>
            <w:r w:rsidRPr="00895240">
              <w:rPr>
                <w:rFonts w:ascii="Times New Roman" w:eastAsia="宋体" w:hAnsi="Times New Roman" w:cs="Times New Roman"/>
                <w:szCs w:val="22"/>
              </w:rPr>
              <w:t>1</w:t>
            </w:r>
          </w:p>
        </w:tc>
        <w:tc>
          <w:tcPr>
            <w:tcW w:w="3271" w:type="pct"/>
            <w:tcMar>
              <w:top w:w="120" w:type="dxa"/>
              <w:left w:w="120" w:type="dxa"/>
              <w:bottom w:w="120" w:type="dxa"/>
              <w:right w:w="120" w:type="dxa"/>
            </w:tcMar>
            <w:vAlign w:val="center"/>
            <w:hideMark/>
          </w:tcPr>
          <w:p w14:paraId="34D15DE7" w14:textId="77777777" w:rsidR="00895240" w:rsidRPr="00895240" w:rsidRDefault="00895240" w:rsidP="00895240">
            <w:pPr>
              <w:pStyle w:val="a9"/>
              <w:spacing w:line="360" w:lineRule="auto"/>
              <w:rPr>
                <w:rFonts w:ascii="Times New Roman" w:eastAsia="宋体" w:hAnsi="Times New Roman" w:cs="Times New Roman"/>
                <w:szCs w:val="22"/>
              </w:rPr>
            </w:pPr>
            <w:r w:rsidRPr="00895240">
              <w:rPr>
                <w:rFonts w:ascii="Times New Roman" w:eastAsia="宋体" w:hAnsi="Times New Roman" w:cs="Times New Roman"/>
                <w:szCs w:val="22"/>
              </w:rPr>
              <w:t>统筹全年服务进度、对接国家项目办、月度工作统筹、年度成果汇总验收、跨事项协调</w:t>
            </w:r>
          </w:p>
        </w:tc>
      </w:tr>
      <w:tr w:rsidR="00895240" w:rsidRPr="00895240" w14:paraId="78454597" w14:textId="77777777" w:rsidTr="00895240">
        <w:tc>
          <w:tcPr>
            <w:tcW w:w="0" w:type="auto"/>
            <w:tcMar>
              <w:top w:w="120" w:type="dxa"/>
              <w:left w:w="120" w:type="dxa"/>
              <w:bottom w:w="120" w:type="dxa"/>
              <w:right w:w="120" w:type="dxa"/>
            </w:tcMar>
            <w:vAlign w:val="center"/>
            <w:hideMark/>
          </w:tcPr>
          <w:p w14:paraId="743151A0" w14:textId="77777777" w:rsidR="00895240" w:rsidRPr="00895240" w:rsidRDefault="00895240" w:rsidP="00895240">
            <w:pPr>
              <w:pStyle w:val="a9"/>
              <w:spacing w:line="360" w:lineRule="auto"/>
              <w:rPr>
                <w:rFonts w:ascii="Times New Roman" w:eastAsia="宋体" w:hAnsi="Times New Roman" w:cs="Times New Roman"/>
                <w:szCs w:val="22"/>
              </w:rPr>
            </w:pPr>
            <w:r w:rsidRPr="00895240">
              <w:rPr>
                <w:rFonts w:ascii="Times New Roman" w:eastAsia="宋体" w:hAnsi="Times New Roman" w:cs="Times New Roman"/>
                <w:szCs w:val="22"/>
              </w:rPr>
              <w:t>个性化干预制定专员</w:t>
            </w:r>
          </w:p>
        </w:tc>
        <w:tc>
          <w:tcPr>
            <w:tcW w:w="734" w:type="pct"/>
            <w:tcMar>
              <w:top w:w="120" w:type="dxa"/>
              <w:left w:w="120" w:type="dxa"/>
              <w:bottom w:w="120" w:type="dxa"/>
              <w:right w:w="120" w:type="dxa"/>
            </w:tcMar>
            <w:vAlign w:val="center"/>
            <w:hideMark/>
          </w:tcPr>
          <w:p w14:paraId="23156B9A" w14:textId="77777777" w:rsidR="00895240" w:rsidRPr="00895240" w:rsidRDefault="00895240" w:rsidP="00895240">
            <w:pPr>
              <w:pStyle w:val="a9"/>
              <w:spacing w:line="360" w:lineRule="auto"/>
              <w:ind w:firstLineChars="200" w:firstLine="480"/>
              <w:rPr>
                <w:rFonts w:ascii="Times New Roman" w:eastAsia="宋体" w:hAnsi="Times New Roman" w:cs="Times New Roman"/>
                <w:szCs w:val="22"/>
              </w:rPr>
            </w:pPr>
            <w:r w:rsidRPr="00895240">
              <w:rPr>
                <w:rFonts w:ascii="Times New Roman" w:eastAsia="宋体" w:hAnsi="Times New Roman" w:cs="Times New Roman"/>
                <w:szCs w:val="22"/>
              </w:rPr>
              <w:t>2</w:t>
            </w:r>
          </w:p>
        </w:tc>
        <w:tc>
          <w:tcPr>
            <w:tcW w:w="3271" w:type="pct"/>
            <w:tcMar>
              <w:top w:w="120" w:type="dxa"/>
              <w:left w:w="120" w:type="dxa"/>
              <w:bottom w:w="120" w:type="dxa"/>
              <w:right w:w="120" w:type="dxa"/>
            </w:tcMar>
            <w:vAlign w:val="center"/>
            <w:hideMark/>
          </w:tcPr>
          <w:p w14:paraId="07CDABD2" w14:textId="77777777" w:rsidR="00895240" w:rsidRPr="00895240" w:rsidRDefault="00895240" w:rsidP="00895240">
            <w:pPr>
              <w:pStyle w:val="a9"/>
              <w:spacing w:line="360" w:lineRule="auto"/>
              <w:rPr>
                <w:rFonts w:ascii="Times New Roman" w:eastAsia="宋体" w:hAnsi="Times New Roman" w:cs="Times New Roman"/>
                <w:szCs w:val="22"/>
              </w:rPr>
            </w:pPr>
            <w:r w:rsidRPr="00895240">
              <w:rPr>
                <w:rFonts w:ascii="Times New Roman" w:eastAsia="宋体" w:hAnsi="Times New Roman" w:cs="Times New Roman"/>
                <w:szCs w:val="22"/>
              </w:rPr>
              <w:t>人群画像维护、一人</w:t>
            </w:r>
            <w:proofErr w:type="gramStart"/>
            <w:r w:rsidRPr="00895240">
              <w:rPr>
                <w:rFonts w:ascii="Times New Roman" w:eastAsia="宋体" w:hAnsi="Times New Roman" w:cs="Times New Roman"/>
                <w:szCs w:val="22"/>
              </w:rPr>
              <w:t>一</w:t>
            </w:r>
            <w:proofErr w:type="gramEnd"/>
            <w:r w:rsidRPr="00895240">
              <w:rPr>
                <w:rFonts w:ascii="Times New Roman" w:eastAsia="宋体" w:hAnsi="Times New Roman" w:cs="Times New Roman"/>
                <w:szCs w:val="22"/>
              </w:rPr>
              <w:t>策方案设计、宣教素材制作、推送数据统计分析</w:t>
            </w:r>
          </w:p>
        </w:tc>
      </w:tr>
      <w:tr w:rsidR="00895240" w:rsidRPr="00895240" w14:paraId="71679224" w14:textId="77777777" w:rsidTr="00895240">
        <w:tc>
          <w:tcPr>
            <w:tcW w:w="0" w:type="auto"/>
            <w:tcMar>
              <w:top w:w="120" w:type="dxa"/>
              <w:left w:w="120" w:type="dxa"/>
              <w:bottom w:w="120" w:type="dxa"/>
              <w:right w:w="120" w:type="dxa"/>
            </w:tcMar>
            <w:vAlign w:val="center"/>
            <w:hideMark/>
          </w:tcPr>
          <w:p w14:paraId="148BBBCD" w14:textId="77777777" w:rsidR="00895240" w:rsidRPr="00895240" w:rsidRDefault="00895240" w:rsidP="00895240">
            <w:pPr>
              <w:pStyle w:val="a9"/>
              <w:spacing w:line="360" w:lineRule="auto"/>
              <w:rPr>
                <w:rFonts w:ascii="Times New Roman" w:eastAsia="宋体" w:hAnsi="Times New Roman" w:cs="Times New Roman"/>
                <w:szCs w:val="22"/>
              </w:rPr>
            </w:pPr>
            <w:r w:rsidRPr="00895240">
              <w:rPr>
                <w:rFonts w:ascii="Times New Roman" w:eastAsia="宋体" w:hAnsi="Times New Roman" w:cs="Times New Roman"/>
                <w:szCs w:val="22"/>
              </w:rPr>
              <w:t>项目运营专员</w:t>
            </w:r>
          </w:p>
        </w:tc>
        <w:tc>
          <w:tcPr>
            <w:tcW w:w="734" w:type="pct"/>
            <w:tcMar>
              <w:top w:w="120" w:type="dxa"/>
              <w:left w:w="120" w:type="dxa"/>
              <w:bottom w:w="120" w:type="dxa"/>
              <w:right w:w="120" w:type="dxa"/>
            </w:tcMar>
            <w:vAlign w:val="center"/>
            <w:hideMark/>
          </w:tcPr>
          <w:p w14:paraId="4FB06A62" w14:textId="77777777" w:rsidR="00895240" w:rsidRPr="00895240" w:rsidRDefault="00895240" w:rsidP="00895240">
            <w:pPr>
              <w:pStyle w:val="a9"/>
              <w:spacing w:line="360" w:lineRule="auto"/>
              <w:ind w:firstLineChars="200" w:firstLine="480"/>
              <w:rPr>
                <w:rFonts w:ascii="Times New Roman" w:eastAsia="宋体" w:hAnsi="Times New Roman" w:cs="Times New Roman"/>
                <w:szCs w:val="22"/>
              </w:rPr>
            </w:pPr>
            <w:r w:rsidRPr="00895240">
              <w:rPr>
                <w:rFonts w:ascii="Times New Roman" w:eastAsia="宋体" w:hAnsi="Times New Roman" w:cs="Times New Roman"/>
                <w:szCs w:val="22"/>
              </w:rPr>
              <w:t>3</w:t>
            </w:r>
          </w:p>
        </w:tc>
        <w:tc>
          <w:tcPr>
            <w:tcW w:w="3271" w:type="pct"/>
            <w:tcMar>
              <w:top w:w="120" w:type="dxa"/>
              <w:left w:w="120" w:type="dxa"/>
              <w:bottom w:w="120" w:type="dxa"/>
              <w:right w:w="120" w:type="dxa"/>
            </w:tcMar>
            <w:vAlign w:val="center"/>
            <w:hideMark/>
          </w:tcPr>
          <w:p w14:paraId="3DEE134F" w14:textId="77777777" w:rsidR="00895240" w:rsidRPr="00895240" w:rsidRDefault="00895240" w:rsidP="00895240">
            <w:pPr>
              <w:pStyle w:val="a9"/>
              <w:spacing w:line="360" w:lineRule="auto"/>
              <w:rPr>
                <w:rFonts w:ascii="Times New Roman" w:eastAsia="宋体" w:hAnsi="Times New Roman" w:cs="Times New Roman"/>
                <w:szCs w:val="22"/>
              </w:rPr>
            </w:pPr>
            <w:r w:rsidRPr="00895240">
              <w:rPr>
                <w:rFonts w:ascii="Times New Roman" w:eastAsia="宋体" w:hAnsi="Times New Roman" w:cs="Times New Roman"/>
                <w:szCs w:val="22"/>
              </w:rPr>
              <w:t>窗口期人群识别配置、多渠道提醒配置、提醒数据报表整理</w:t>
            </w:r>
          </w:p>
        </w:tc>
      </w:tr>
    </w:tbl>
    <w:p w14:paraId="5AAC81DF" w14:textId="77777777" w:rsidR="00895240" w:rsidRPr="00895240" w:rsidRDefault="00895240" w:rsidP="002452B1">
      <w:pPr>
        <w:pStyle w:val="a9"/>
        <w:widowControl/>
        <w:spacing w:line="360" w:lineRule="auto"/>
        <w:ind w:firstLineChars="200" w:firstLine="480"/>
        <w:rPr>
          <w:rFonts w:ascii="Times New Roman" w:eastAsia="宋体" w:hAnsi="Times New Roman" w:cs="Times New Roman" w:hint="eastAsia"/>
          <w:szCs w:val="22"/>
        </w:rPr>
      </w:pPr>
    </w:p>
    <w:p w14:paraId="71BC2BF5" w14:textId="77777777" w:rsidR="00DF334B" w:rsidRPr="00895240" w:rsidRDefault="00DF334B" w:rsidP="00895240">
      <w:pPr>
        <w:pStyle w:val="1"/>
        <w:keepNext w:val="0"/>
        <w:keepLines w:val="0"/>
        <w:widowControl/>
        <w:spacing w:before="0" w:beforeAutospacing="1" w:after="0" w:afterAutospacing="1" w:line="240" w:lineRule="auto"/>
        <w:jc w:val="left"/>
        <w:rPr>
          <w:rFonts w:ascii="宋体" w:eastAsia="宋体" w:hAnsi="宋体" w:cs="Times New Roman"/>
          <w:bCs/>
          <w:sz w:val="48"/>
          <w:szCs w:val="48"/>
        </w:rPr>
      </w:pPr>
      <w:r w:rsidRPr="00895240">
        <w:rPr>
          <w:rFonts w:ascii="宋体" w:eastAsia="宋体" w:hAnsi="宋体" w:cs="Times New Roman"/>
          <w:bCs/>
          <w:sz w:val="48"/>
          <w:szCs w:val="48"/>
        </w:rPr>
        <w:lastRenderedPageBreak/>
        <w:t>六、其他服务要求</w:t>
      </w:r>
    </w:p>
    <w:p w14:paraId="5AEF3922" w14:textId="77777777" w:rsidR="00DF334B" w:rsidRPr="002452B1" w:rsidRDefault="00DF334B" w:rsidP="002452B1">
      <w:pPr>
        <w:pStyle w:val="2"/>
      </w:pPr>
      <w:r w:rsidRPr="002452B1">
        <w:t>（一）响应保障要求</w:t>
      </w:r>
    </w:p>
    <w:p w14:paraId="266FB32E"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日常业务咨询：</w:t>
      </w:r>
      <w:r w:rsidRPr="002452B1">
        <w:rPr>
          <w:rFonts w:ascii="Times New Roman" w:eastAsia="宋体" w:hAnsi="Times New Roman" w:cs="Times New Roman"/>
          <w:szCs w:val="22"/>
        </w:rPr>
        <w:t xml:space="preserve">7×10 </w:t>
      </w:r>
      <w:r w:rsidRPr="002452B1">
        <w:rPr>
          <w:rFonts w:ascii="Times New Roman" w:eastAsia="宋体" w:hAnsi="Times New Roman" w:cs="Times New Roman"/>
          <w:szCs w:val="22"/>
        </w:rPr>
        <w:t>小时实时响应，简单问题当日办结；</w:t>
      </w:r>
    </w:p>
    <w:p w14:paraId="2639BFC8"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系统一般故障：</w:t>
      </w:r>
      <w:r w:rsidRPr="002452B1">
        <w:rPr>
          <w:rFonts w:ascii="Times New Roman" w:eastAsia="宋体" w:hAnsi="Times New Roman" w:cs="Times New Roman"/>
          <w:szCs w:val="22"/>
        </w:rPr>
        <w:t xml:space="preserve">1 </w:t>
      </w:r>
      <w:r w:rsidRPr="002452B1">
        <w:rPr>
          <w:rFonts w:ascii="Times New Roman" w:eastAsia="宋体" w:hAnsi="Times New Roman" w:cs="Times New Roman"/>
          <w:szCs w:val="22"/>
        </w:rPr>
        <w:t>小时响应，</w:t>
      </w:r>
      <w:r w:rsidRPr="002452B1">
        <w:rPr>
          <w:rFonts w:ascii="Times New Roman" w:eastAsia="宋体" w:hAnsi="Times New Roman" w:cs="Times New Roman"/>
          <w:szCs w:val="22"/>
        </w:rPr>
        <w:t xml:space="preserve">4 </w:t>
      </w:r>
      <w:r w:rsidRPr="002452B1">
        <w:rPr>
          <w:rFonts w:ascii="Times New Roman" w:eastAsia="宋体" w:hAnsi="Times New Roman" w:cs="Times New Roman"/>
          <w:szCs w:val="22"/>
        </w:rPr>
        <w:t>小时处置完成；</w:t>
      </w:r>
    </w:p>
    <w:p w14:paraId="107F2DDB"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推送、系统登录重大故障：</w:t>
      </w:r>
      <w:r w:rsidRPr="002452B1">
        <w:rPr>
          <w:rFonts w:ascii="Times New Roman" w:eastAsia="宋体" w:hAnsi="Times New Roman" w:cs="Times New Roman"/>
          <w:szCs w:val="22"/>
        </w:rPr>
        <w:t xml:space="preserve">4 </w:t>
      </w:r>
      <w:r w:rsidRPr="002452B1">
        <w:rPr>
          <w:rFonts w:ascii="Times New Roman" w:eastAsia="宋体" w:hAnsi="Times New Roman" w:cs="Times New Roman"/>
          <w:szCs w:val="22"/>
        </w:rPr>
        <w:t>小时远程介入，</w:t>
      </w:r>
      <w:r w:rsidRPr="002452B1">
        <w:rPr>
          <w:rFonts w:ascii="Times New Roman" w:eastAsia="宋体" w:hAnsi="Times New Roman" w:cs="Times New Roman"/>
          <w:szCs w:val="22"/>
        </w:rPr>
        <w:t xml:space="preserve">24 </w:t>
      </w:r>
      <w:r w:rsidRPr="002452B1">
        <w:rPr>
          <w:rFonts w:ascii="Times New Roman" w:eastAsia="宋体" w:hAnsi="Times New Roman" w:cs="Times New Roman"/>
          <w:szCs w:val="22"/>
        </w:rPr>
        <w:t>小时内恢复全部干预、提醒业务；</w:t>
      </w:r>
    </w:p>
    <w:p w14:paraId="7A0EE7FF" w14:textId="24ABE020"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每月</w:t>
      </w:r>
      <w:proofErr w:type="gramStart"/>
      <w:r w:rsidRPr="002452B1">
        <w:rPr>
          <w:rFonts w:ascii="Times New Roman" w:eastAsia="宋体" w:hAnsi="Times New Roman" w:cs="Times New Roman"/>
          <w:szCs w:val="22"/>
        </w:rPr>
        <w:t>固定线</w:t>
      </w:r>
      <w:proofErr w:type="gramEnd"/>
      <w:r w:rsidRPr="002452B1">
        <w:rPr>
          <w:rFonts w:ascii="Times New Roman" w:eastAsia="宋体" w:hAnsi="Times New Roman" w:cs="Times New Roman"/>
          <w:szCs w:val="22"/>
        </w:rPr>
        <w:t>上工作例会</w:t>
      </w:r>
      <w:r w:rsidR="00AB3367">
        <w:rPr>
          <w:rFonts w:ascii="Times New Roman" w:eastAsia="宋体" w:hAnsi="Times New Roman" w:cs="Times New Roman" w:hint="eastAsia"/>
          <w:szCs w:val="22"/>
        </w:rPr>
        <w:t>（院方组织）</w:t>
      </w:r>
      <w:r w:rsidRPr="002452B1">
        <w:rPr>
          <w:rFonts w:ascii="Times New Roman" w:eastAsia="宋体" w:hAnsi="Times New Roman" w:cs="Times New Roman"/>
          <w:szCs w:val="22"/>
        </w:rPr>
        <w:t>，同步月度运行数据、问题优化方向，留存会议纪要。</w:t>
      </w:r>
    </w:p>
    <w:p w14:paraId="28E71FBE" w14:textId="77777777" w:rsidR="00DF334B" w:rsidRPr="002452B1" w:rsidRDefault="00DF334B" w:rsidP="002452B1">
      <w:pPr>
        <w:pStyle w:val="2"/>
      </w:pPr>
      <w:r w:rsidRPr="002452B1">
        <w:t>（二）数据安全要求</w:t>
      </w:r>
    </w:p>
    <w:p w14:paraId="45B98A79"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原始隐私数据仅存储官方业务系统，运营环节仅调取脱敏标签；</w:t>
      </w:r>
    </w:p>
    <w:p w14:paraId="7A02249C"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运营人员无批量导出完整患者信息权限；</w:t>
      </w:r>
    </w:p>
    <w:p w14:paraId="3F438103"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所有推送、数据修改、账号调整操作日志留存</w:t>
      </w:r>
      <w:r w:rsidRPr="002452B1">
        <w:rPr>
          <w:rFonts w:ascii="Times New Roman" w:eastAsia="宋体" w:hAnsi="Times New Roman" w:cs="Times New Roman"/>
          <w:szCs w:val="22"/>
        </w:rPr>
        <w:t xml:space="preserve">≥3 </w:t>
      </w:r>
      <w:r w:rsidRPr="002452B1">
        <w:rPr>
          <w:rFonts w:ascii="Times New Roman" w:eastAsia="宋体" w:hAnsi="Times New Roman" w:cs="Times New Roman"/>
          <w:szCs w:val="22"/>
        </w:rPr>
        <w:t>年，全程可审计；</w:t>
      </w:r>
    </w:p>
    <w:p w14:paraId="1BB9322C"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数据集全脱敏，去除姓名、手机号等唯一标识。</w:t>
      </w:r>
    </w:p>
    <w:p w14:paraId="2AC692E9" w14:textId="77777777" w:rsidR="00DF334B" w:rsidRPr="002452B1" w:rsidRDefault="00DF334B" w:rsidP="002452B1">
      <w:pPr>
        <w:pStyle w:val="2"/>
      </w:pPr>
      <w:r w:rsidRPr="002452B1">
        <w:t>（三）培训要求</w:t>
      </w:r>
    </w:p>
    <w:p w14:paraId="1EFEAEB7"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培训对象：医院项目管理人员、各项目点随访执行人员；</w:t>
      </w:r>
    </w:p>
    <w:p w14:paraId="2B81738E"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培训内容：一人</w:t>
      </w:r>
      <w:proofErr w:type="gramStart"/>
      <w:r w:rsidRPr="002452B1">
        <w:rPr>
          <w:rFonts w:ascii="Times New Roman" w:eastAsia="宋体" w:hAnsi="Times New Roman" w:cs="Times New Roman"/>
          <w:szCs w:val="22"/>
        </w:rPr>
        <w:t>一</w:t>
      </w:r>
      <w:proofErr w:type="gramEnd"/>
      <w:r w:rsidRPr="002452B1">
        <w:rPr>
          <w:rFonts w:ascii="Times New Roman" w:eastAsia="宋体" w:hAnsi="Times New Roman" w:cs="Times New Roman"/>
          <w:szCs w:val="22"/>
        </w:rPr>
        <w:t>策干预方案使用、随访计划表编制、多渠道提醒操作、</w:t>
      </w:r>
      <w:proofErr w:type="gramStart"/>
      <w:r w:rsidRPr="002452B1">
        <w:rPr>
          <w:rFonts w:ascii="Times New Roman" w:eastAsia="宋体" w:hAnsi="Times New Roman" w:cs="Times New Roman"/>
          <w:szCs w:val="22"/>
        </w:rPr>
        <w:t>各类台账</w:t>
      </w:r>
      <w:proofErr w:type="gramEnd"/>
      <w:r w:rsidRPr="002452B1">
        <w:rPr>
          <w:rFonts w:ascii="Times New Roman" w:eastAsia="宋体" w:hAnsi="Times New Roman" w:cs="Times New Roman"/>
          <w:szCs w:val="22"/>
        </w:rPr>
        <w:t>报表填报；</w:t>
      </w:r>
    </w:p>
    <w:p w14:paraId="203AD698"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培训方式：线上视频培训，配套完整运营操作文档。</w:t>
      </w:r>
    </w:p>
    <w:p w14:paraId="0C474E0D" w14:textId="77777777" w:rsidR="00DF334B" w:rsidRPr="002452B1" w:rsidRDefault="00DF334B" w:rsidP="002452B1">
      <w:pPr>
        <w:pStyle w:val="2"/>
      </w:pPr>
      <w:r w:rsidRPr="002452B1">
        <w:t>（四）验收标准</w:t>
      </w:r>
    </w:p>
    <w:p w14:paraId="268A117B"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lastRenderedPageBreak/>
        <w:t>指标验收标准</w:t>
      </w:r>
    </w:p>
    <w:p w14:paraId="19CD5D79"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w:t>
      </w:r>
      <w:r w:rsidRPr="002452B1">
        <w:rPr>
          <w:rFonts w:ascii="Times New Roman" w:eastAsia="宋体" w:hAnsi="Times New Roman" w:cs="Times New Roman"/>
          <w:szCs w:val="22"/>
        </w:rPr>
        <w:t>1</w:t>
      </w:r>
      <w:r w:rsidRPr="002452B1">
        <w:rPr>
          <w:rFonts w:ascii="Times New Roman" w:eastAsia="宋体" w:hAnsi="Times New Roman" w:cs="Times New Roman"/>
          <w:szCs w:val="22"/>
        </w:rPr>
        <w:t>）基于人群画像实现个性化干预方案匹配度</w:t>
      </w:r>
      <w:r w:rsidRPr="002452B1">
        <w:rPr>
          <w:rFonts w:ascii="Times New Roman" w:eastAsia="宋体" w:hAnsi="Times New Roman" w:cs="Times New Roman"/>
          <w:szCs w:val="22"/>
        </w:rPr>
        <w:t>≥90%</w:t>
      </w:r>
      <w:r w:rsidRPr="002452B1">
        <w:rPr>
          <w:rFonts w:ascii="Times New Roman" w:eastAsia="宋体" w:hAnsi="Times New Roman" w:cs="Times New Roman"/>
          <w:szCs w:val="22"/>
        </w:rPr>
        <w:t>；</w:t>
      </w:r>
    </w:p>
    <w:p w14:paraId="7687B0DD"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w:t>
      </w:r>
      <w:r w:rsidRPr="002452B1">
        <w:rPr>
          <w:rFonts w:ascii="Times New Roman" w:eastAsia="宋体" w:hAnsi="Times New Roman" w:cs="Times New Roman"/>
          <w:szCs w:val="22"/>
        </w:rPr>
        <w:t>2</w:t>
      </w:r>
      <w:r w:rsidRPr="002452B1">
        <w:rPr>
          <w:rFonts w:ascii="Times New Roman" w:eastAsia="宋体" w:hAnsi="Times New Roman" w:cs="Times New Roman"/>
          <w:szCs w:val="22"/>
        </w:rPr>
        <w:t>）实现</w:t>
      </w:r>
      <w:r w:rsidRPr="002452B1">
        <w:rPr>
          <w:rFonts w:ascii="Times New Roman" w:eastAsia="宋体" w:hAnsi="Times New Roman" w:cs="Times New Roman"/>
          <w:szCs w:val="22"/>
        </w:rPr>
        <w:t xml:space="preserve"> 95% </w:t>
      </w:r>
      <w:r w:rsidRPr="002452B1">
        <w:rPr>
          <w:rFonts w:ascii="Times New Roman" w:eastAsia="宋体" w:hAnsi="Times New Roman" w:cs="Times New Roman"/>
          <w:szCs w:val="22"/>
        </w:rPr>
        <w:t>以上干预的有效触达；</w:t>
      </w:r>
    </w:p>
    <w:p w14:paraId="4E98FA2E"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w:t>
      </w:r>
      <w:r w:rsidRPr="002452B1">
        <w:rPr>
          <w:rFonts w:ascii="Times New Roman" w:eastAsia="宋体" w:hAnsi="Times New Roman" w:cs="Times New Roman"/>
          <w:szCs w:val="22"/>
        </w:rPr>
        <w:t>3</w:t>
      </w:r>
      <w:r w:rsidRPr="002452B1">
        <w:rPr>
          <w:rFonts w:ascii="Times New Roman" w:eastAsia="宋体" w:hAnsi="Times New Roman" w:cs="Times New Roman"/>
          <w:szCs w:val="22"/>
        </w:rPr>
        <w:t>）宣教素材专业匹配度</w:t>
      </w:r>
      <w:r w:rsidRPr="002452B1">
        <w:rPr>
          <w:rFonts w:ascii="Times New Roman" w:eastAsia="宋体" w:hAnsi="Times New Roman" w:cs="Times New Roman"/>
          <w:szCs w:val="22"/>
        </w:rPr>
        <w:t>≥95%</w:t>
      </w:r>
      <w:r w:rsidRPr="002452B1">
        <w:rPr>
          <w:rFonts w:ascii="Times New Roman" w:eastAsia="宋体" w:hAnsi="Times New Roman" w:cs="Times New Roman"/>
          <w:szCs w:val="22"/>
        </w:rPr>
        <w:t>；</w:t>
      </w:r>
    </w:p>
    <w:p w14:paraId="5DC2A621"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w:t>
      </w:r>
      <w:r w:rsidRPr="002452B1">
        <w:rPr>
          <w:rFonts w:ascii="Times New Roman" w:eastAsia="宋体" w:hAnsi="Times New Roman" w:cs="Times New Roman"/>
          <w:szCs w:val="22"/>
        </w:rPr>
        <w:t>4</w:t>
      </w:r>
      <w:r w:rsidRPr="002452B1">
        <w:rPr>
          <w:rFonts w:ascii="Times New Roman" w:eastAsia="宋体" w:hAnsi="Times New Roman" w:cs="Times New Roman"/>
          <w:szCs w:val="22"/>
        </w:rPr>
        <w:t>）故障响应、处置时效全部满足响应保障条款要求。</w:t>
      </w:r>
    </w:p>
    <w:p w14:paraId="0F6C1DA7"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文档交付验收标准</w:t>
      </w:r>
    </w:p>
    <w:p w14:paraId="41BA4518"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w:t>
      </w:r>
      <w:r w:rsidRPr="002452B1">
        <w:rPr>
          <w:rFonts w:ascii="Times New Roman" w:eastAsia="宋体" w:hAnsi="Times New Roman" w:cs="Times New Roman"/>
          <w:szCs w:val="22"/>
        </w:rPr>
        <w:t>1</w:t>
      </w:r>
      <w:r w:rsidRPr="002452B1">
        <w:rPr>
          <w:rFonts w:ascii="Times New Roman" w:eastAsia="宋体" w:hAnsi="Times New Roman" w:cs="Times New Roman"/>
          <w:szCs w:val="22"/>
        </w:rPr>
        <w:t>）月度交付</w:t>
      </w:r>
      <w:proofErr w:type="gramStart"/>
      <w:r w:rsidRPr="002452B1">
        <w:rPr>
          <w:rFonts w:ascii="Times New Roman" w:eastAsia="宋体" w:hAnsi="Times New Roman" w:cs="Times New Roman"/>
          <w:szCs w:val="22"/>
        </w:rPr>
        <w:t>物严格</w:t>
      </w:r>
      <w:proofErr w:type="gramEnd"/>
      <w:r w:rsidRPr="002452B1">
        <w:rPr>
          <w:rFonts w:ascii="Times New Roman" w:eastAsia="宋体" w:hAnsi="Times New Roman" w:cs="Times New Roman"/>
          <w:szCs w:val="22"/>
        </w:rPr>
        <w:t>按照约定节点提交，数据完整、格式统一；</w:t>
      </w:r>
    </w:p>
    <w:p w14:paraId="21F970C1"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w:t>
      </w:r>
      <w:r w:rsidRPr="002452B1">
        <w:rPr>
          <w:rFonts w:ascii="Times New Roman" w:eastAsia="宋体" w:hAnsi="Times New Roman" w:cs="Times New Roman"/>
          <w:szCs w:val="22"/>
        </w:rPr>
        <w:t>2</w:t>
      </w:r>
      <w:r w:rsidRPr="002452B1">
        <w:rPr>
          <w:rFonts w:ascii="Times New Roman" w:eastAsia="宋体" w:hAnsi="Times New Roman" w:cs="Times New Roman"/>
          <w:szCs w:val="22"/>
        </w:rPr>
        <w:t>）半年度、年度综合评估报告数据完整，包含运营数据、问题总结；</w:t>
      </w:r>
    </w:p>
    <w:p w14:paraId="79675714"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w:t>
      </w:r>
      <w:r w:rsidRPr="002452B1">
        <w:rPr>
          <w:rFonts w:ascii="Times New Roman" w:eastAsia="宋体" w:hAnsi="Times New Roman" w:cs="Times New Roman"/>
          <w:szCs w:val="22"/>
        </w:rPr>
        <w:t>3</w:t>
      </w:r>
      <w:r w:rsidRPr="002452B1">
        <w:rPr>
          <w:rFonts w:ascii="Times New Roman" w:eastAsia="宋体" w:hAnsi="Times New Roman" w:cs="Times New Roman"/>
          <w:szCs w:val="22"/>
        </w:rPr>
        <w:t>）全套干预电子文件</w:t>
      </w:r>
      <w:proofErr w:type="gramStart"/>
      <w:r w:rsidRPr="002452B1">
        <w:rPr>
          <w:rFonts w:ascii="Times New Roman" w:eastAsia="宋体" w:hAnsi="Times New Roman" w:cs="Times New Roman"/>
          <w:szCs w:val="22"/>
        </w:rPr>
        <w:t>包内容</w:t>
      </w:r>
      <w:proofErr w:type="gramEnd"/>
      <w:r w:rsidRPr="002452B1">
        <w:rPr>
          <w:rFonts w:ascii="Times New Roman" w:eastAsia="宋体" w:hAnsi="Times New Roman" w:cs="Times New Roman"/>
          <w:szCs w:val="22"/>
        </w:rPr>
        <w:t>符合慢阻肺、哮喘诊疗指南规范。</w:t>
      </w:r>
    </w:p>
    <w:p w14:paraId="0C849899"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服务实施验收标准</w:t>
      </w:r>
    </w:p>
    <w:p w14:paraId="55DEE2A6"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全</w:t>
      </w:r>
      <w:r w:rsidRPr="002452B1">
        <w:rPr>
          <w:rFonts w:ascii="Times New Roman" w:eastAsia="宋体" w:hAnsi="Times New Roman" w:cs="Times New Roman"/>
          <w:szCs w:val="22"/>
        </w:rPr>
        <w:t xml:space="preserve"> 12 </w:t>
      </w:r>
      <w:proofErr w:type="gramStart"/>
      <w:r w:rsidRPr="002452B1">
        <w:rPr>
          <w:rFonts w:ascii="Times New Roman" w:eastAsia="宋体" w:hAnsi="Times New Roman" w:cs="Times New Roman"/>
          <w:szCs w:val="22"/>
        </w:rPr>
        <w:t>个</w:t>
      </w:r>
      <w:proofErr w:type="gramEnd"/>
      <w:r w:rsidRPr="002452B1">
        <w:rPr>
          <w:rFonts w:ascii="Times New Roman" w:eastAsia="宋体" w:hAnsi="Times New Roman" w:cs="Times New Roman"/>
          <w:szCs w:val="22"/>
        </w:rPr>
        <w:t>月周期持续提供随访干预运营服务，随访、</w:t>
      </w:r>
      <w:proofErr w:type="gramStart"/>
      <w:r w:rsidRPr="002452B1">
        <w:rPr>
          <w:rFonts w:ascii="Times New Roman" w:eastAsia="宋体" w:hAnsi="Times New Roman" w:cs="Times New Roman"/>
          <w:szCs w:val="22"/>
        </w:rPr>
        <w:t>干预全</w:t>
      </w:r>
      <w:proofErr w:type="gramEnd"/>
      <w:r w:rsidRPr="002452B1">
        <w:rPr>
          <w:rFonts w:ascii="Times New Roman" w:eastAsia="宋体" w:hAnsi="Times New Roman" w:cs="Times New Roman"/>
          <w:szCs w:val="22"/>
        </w:rPr>
        <w:t>流程记录完整可追溯，例会、故障处置、培训记录完整归档。</w:t>
      </w:r>
    </w:p>
    <w:p w14:paraId="62A9D591" w14:textId="77777777" w:rsidR="00DF334B" w:rsidRPr="00895240" w:rsidRDefault="00DF334B" w:rsidP="00895240">
      <w:pPr>
        <w:pStyle w:val="1"/>
        <w:keepNext w:val="0"/>
        <w:keepLines w:val="0"/>
        <w:widowControl/>
        <w:spacing w:before="0" w:beforeAutospacing="1" w:after="0" w:afterAutospacing="1" w:line="240" w:lineRule="auto"/>
        <w:jc w:val="left"/>
        <w:rPr>
          <w:rFonts w:ascii="宋体" w:eastAsia="宋体" w:hAnsi="宋体" w:cs="Times New Roman"/>
          <w:bCs/>
          <w:sz w:val="48"/>
          <w:szCs w:val="48"/>
        </w:rPr>
      </w:pPr>
      <w:r w:rsidRPr="00895240">
        <w:rPr>
          <w:rFonts w:ascii="宋体" w:eastAsia="宋体" w:hAnsi="宋体" w:cs="Times New Roman"/>
          <w:bCs/>
          <w:sz w:val="48"/>
          <w:szCs w:val="48"/>
        </w:rPr>
        <w:t>七、全年完整交付成果总清单</w:t>
      </w:r>
    </w:p>
    <w:p w14:paraId="2872FEA8" w14:textId="77777777" w:rsidR="00DF334B" w:rsidRPr="002452B1" w:rsidRDefault="00DF334B" w:rsidP="002452B1">
      <w:pPr>
        <w:pStyle w:val="2"/>
      </w:pPr>
      <w:r w:rsidRPr="002452B1">
        <w:t>（一）个性化干预类</w:t>
      </w:r>
    </w:p>
    <w:p w14:paraId="5EA04AD8"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患者画像</w:t>
      </w:r>
    </w:p>
    <w:p w14:paraId="46643C2D"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干预规则手册</w:t>
      </w:r>
    </w:p>
    <w:p w14:paraId="0E655FEB"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一人</w:t>
      </w:r>
      <w:proofErr w:type="gramStart"/>
      <w:r w:rsidRPr="002452B1">
        <w:rPr>
          <w:rFonts w:ascii="Times New Roman" w:eastAsia="宋体" w:hAnsi="Times New Roman" w:cs="Times New Roman"/>
          <w:szCs w:val="22"/>
        </w:rPr>
        <w:t>一</w:t>
      </w:r>
      <w:proofErr w:type="gramEnd"/>
      <w:r w:rsidRPr="002452B1">
        <w:rPr>
          <w:rFonts w:ascii="Times New Roman" w:eastAsia="宋体" w:hAnsi="Times New Roman" w:cs="Times New Roman"/>
          <w:szCs w:val="22"/>
        </w:rPr>
        <w:t>策干预方案</w:t>
      </w:r>
    </w:p>
    <w:p w14:paraId="621D7E7B"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年度干预素材库</w:t>
      </w:r>
    </w:p>
    <w:p w14:paraId="208A12CC"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干预方案推送明细台账</w:t>
      </w:r>
    </w:p>
    <w:p w14:paraId="6BFFD4FA"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lastRenderedPageBreak/>
        <w:t>月度干预参与度分析报表</w:t>
      </w:r>
    </w:p>
    <w:p w14:paraId="509A75DA" w14:textId="77777777" w:rsidR="00DF334B" w:rsidRPr="002452B1" w:rsidRDefault="00DF334B" w:rsidP="002452B1">
      <w:pPr>
        <w:pStyle w:val="2"/>
      </w:pPr>
      <w:r w:rsidRPr="002452B1">
        <w:t>（二）随访提醒类</w:t>
      </w:r>
    </w:p>
    <w:p w14:paraId="50A80FED"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名单和计划表</w:t>
      </w:r>
    </w:p>
    <w:p w14:paraId="5A77C7DE"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提醒记录</w:t>
      </w:r>
    </w:p>
    <w:p w14:paraId="403B8882"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proofErr w:type="gramStart"/>
      <w:r w:rsidRPr="002452B1">
        <w:rPr>
          <w:rFonts w:ascii="Times New Roman" w:eastAsia="宋体" w:hAnsi="Times New Roman" w:cs="Times New Roman"/>
          <w:szCs w:val="22"/>
        </w:rPr>
        <w:t>触达记录</w:t>
      </w:r>
      <w:proofErr w:type="gramEnd"/>
    </w:p>
    <w:p w14:paraId="46F0BC8A"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proofErr w:type="gramStart"/>
      <w:r w:rsidRPr="002452B1">
        <w:rPr>
          <w:rFonts w:ascii="Times New Roman" w:eastAsia="宋体" w:hAnsi="Times New Roman" w:cs="Times New Roman"/>
          <w:szCs w:val="22"/>
        </w:rPr>
        <w:t>月度专项</w:t>
      </w:r>
      <w:proofErr w:type="gramEnd"/>
      <w:r w:rsidRPr="002452B1">
        <w:rPr>
          <w:rFonts w:ascii="Times New Roman" w:eastAsia="宋体" w:hAnsi="Times New Roman" w:cs="Times New Roman"/>
          <w:szCs w:val="22"/>
        </w:rPr>
        <w:t>报告</w:t>
      </w:r>
    </w:p>
    <w:p w14:paraId="1C7DE7C1" w14:textId="77777777" w:rsidR="00DF334B" w:rsidRPr="002452B1" w:rsidRDefault="00DF334B" w:rsidP="002452B1">
      <w:pPr>
        <w:pStyle w:val="2"/>
      </w:pPr>
      <w:r w:rsidRPr="002452B1">
        <w:t>（三）周期专项报告</w:t>
      </w:r>
    </w:p>
    <w:p w14:paraId="2530A6FD"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半年度综合评估报告</w:t>
      </w:r>
    </w:p>
    <w:p w14:paraId="56830383"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年度综合评估报告</w:t>
      </w:r>
    </w:p>
    <w:p w14:paraId="7B2A9CFE" w14:textId="77777777" w:rsidR="00DF334B" w:rsidRPr="002452B1" w:rsidRDefault="00DF334B" w:rsidP="002452B1">
      <w:pPr>
        <w:pStyle w:val="2"/>
      </w:pPr>
      <w:r w:rsidRPr="002452B1">
        <w:t>（四）月度配套台账</w:t>
      </w:r>
    </w:p>
    <w:p w14:paraId="2CD5A566"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月度数据处理台账</w:t>
      </w:r>
    </w:p>
    <w:p w14:paraId="1B370DE7" w14:textId="77777777" w:rsidR="00DF334B" w:rsidRPr="002452B1" w:rsidRDefault="00DF334B" w:rsidP="002452B1">
      <w:pPr>
        <w:pStyle w:val="a9"/>
        <w:widowControl/>
        <w:spacing w:line="360" w:lineRule="auto"/>
        <w:ind w:firstLineChars="200" w:firstLine="480"/>
        <w:rPr>
          <w:rFonts w:ascii="Times New Roman" w:eastAsia="宋体" w:hAnsi="Times New Roman" w:cs="Times New Roman"/>
          <w:szCs w:val="22"/>
        </w:rPr>
      </w:pPr>
      <w:r w:rsidRPr="002452B1">
        <w:rPr>
          <w:rFonts w:ascii="Times New Roman" w:eastAsia="宋体" w:hAnsi="Times New Roman" w:cs="Times New Roman"/>
          <w:szCs w:val="22"/>
        </w:rPr>
        <w:t>客服</w:t>
      </w:r>
      <w:proofErr w:type="gramStart"/>
      <w:r w:rsidRPr="002452B1">
        <w:rPr>
          <w:rFonts w:ascii="Times New Roman" w:eastAsia="宋体" w:hAnsi="Times New Roman" w:cs="Times New Roman"/>
          <w:szCs w:val="22"/>
        </w:rPr>
        <w:t>处置台</w:t>
      </w:r>
      <w:proofErr w:type="gramEnd"/>
      <w:r w:rsidRPr="002452B1">
        <w:rPr>
          <w:rFonts w:ascii="Times New Roman" w:eastAsia="宋体" w:hAnsi="Times New Roman" w:cs="Times New Roman"/>
          <w:szCs w:val="22"/>
        </w:rPr>
        <w:t>账</w:t>
      </w:r>
    </w:p>
    <w:p w14:paraId="6FAE9A09" w14:textId="77777777" w:rsidR="00F0180D" w:rsidRPr="002452B1" w:rsidRDefault="00F0180D" w:rsidP="002452B1">
      <w:pPr>
        <w:pStyle w:val="a9"/>
        <w:widowControl/>
        <w:spacing w:line="360" w:lineRule="auto"/>
        <w:ind w:firstLineChars="200" w:firstLine="480"/>
        <w:rPr>
          <w:rFonts w:ascii="Times New Roman" w:eastAsia="宋体" w:hAnsi="Times New Roman" w:cs="Times New Roman"/>
          <w:szCs w:val="22"/>
        </w:rPr>
      </w:pPr>
    </w:p>
    <w:p w14:paraId="5D4ED2DC" w14:textId="2C16DA24" w:rsidR="00085E4D" w:rsidRPr="002452B1" w:rsidRDefault="00085E4D" w:rsidP="002452B1">
      <w:pPr>
        <w:pStyle w:val="a9"/>
        <w:widowControl/>
        <w:spacing w:line="360" w:lineRule="auto"/>
        <w:ind w:firstLineChars="200" w:firstLine="480"/>
        <w:rPr>
          <w:rFonts w:ascii="Times New Roman" w:eastAsia="宋体" w:hAnsi="Times New Roman" w:cs="Times New Roman"/>
          <w:szCs w:val="22"/>
        </w:rPr>
      </w:pPr>
    </w:p>
    <w:sectPr w:rsidR="00085E4D" w:rsidRPr="002452B1" w:rsidSect="00F018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CB4D" w14:textId="77777777" w:rsidR="00584C4A" w:rsidRDefault="00584C4A" w:rsidP="00D8050F">
      <w:r>
        <w:separator/>
      </w:r>
    </w:p>
  </w:endnote>
  <w:endnote w:type="continuationSeparator" w:id="0">
    <w:p w14:paraId="58B9ED6C" w14:textId="77777777" w:rsidR="00584C4A" w:rsidRDefault="00584C4A" w:rsidP="00D8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41E6F" w14:textId="77777777" w:rsidR="00584C4A" w:rsidRDefault="00584C4A" w:rsidP="00D8050F">
      <w:r>
        <w:separator/>
      </w:r>
    </w:p>
  </w:footnote>
  <w:footnote w:type="continuationSeparator" w:id="0">
    <w:p w14:paraId="04341B97" w14:textId="77777777" w:rsidR="00584C4A" w:rsidRDefault="00584C4A" w:rsidP="00D80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C3DE96"/>
    <w:multiLevelType w:val="singleLevel"/>
    <w:tmpl w:val="8CC3DE96"/>
    <w:lvl w:ilvl="0">
      <w:start w:val="3"/>
      <w:numFmt w:val="decimal"/>
      <w:suff w:val="nothing"/>
      <w:lvlText w:val="%1）"/>
      <w:lvlJc w:val="left"/>
    </w:lvl>
  </w:abstractNum>
  <w:abstractNum w:abstractNumId="1" w15:restartNumberingAfterBreak="0">
    <w:nsid w:val="0C927BEB"/>
    <w:multiLevelType w:val="multilevel"/>
    <w:tmpl w:val="8C6A3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65C70D"/>
    <w:multiLevelType w:val="singleLevel"/>
    <w:tmpl w:val="1C65C70D"/>
    <w:lvl w:ilvl="0">
      <w:start w:val="1"/>
      <w:numFmt w:val="decimal"/>
      <w:suff w:val="nothing"/>
      <w:lvlText w:val="%1）"/>
      <w:lvlJc w:val="left"/>
    </w:lvl>
  </w:abstractNum>
  <w:abstractNum w:abstractNumId="3" w15:restartNumberingAfterBreak="0">
    <w:nsid w:val="23373712"/>
    <w:multiLevelType w:val="multilevel"/>
    <w:tmpl w:val="F8DE2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2E09E7"/>
    <w:multiLevelType w:val="multilevel"/>
    <w:tmpl w:val="361C2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F71E0"/>
    <w:multiLevelType w:val="multilevel"/>
    <w:tmpl w:val="017A0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0AF514"/>
    <w:multiLevelType w:val="multilevel"/>
    <w:tmpl w:val="420AF514"/>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7" w15:restartNumberingAfterBreak="0">
    <w:nsid w:val="4F2E547F"/>
    <w:multiLevelType w:val="multilevel"/>
    <w:tmpl w:val="A2227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D0392D"/>
    <w:multiLevelType w:val="multilevel"/>
    <w:tmpl w:val="542C9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A01D20"/>
    <w:multiLevelType w:val="multilevel"/>
    <w:tmpl w:val="05806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D47CD8"/>
    <w:multiLevelType w:val="multilevel"/>
    <w:tmpl w:val="68421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F759FE"/>
    <w:multiLevelType w:val="singleLevel"/>
    <w:tmpl w:val="7EF759FE"/>
    <w:lvl w:ilvl="0">
      <w:start w:val="1"/>
      <w:numFmt w:val="bullet"/>
      <w:lvlText w:val=""/>
      <w:lvlJc w:val="left"/>
      <w:pPr>
        <w:ind w:left="420" w:hanging="420"/>
      </w:pPr>
      <w:rPr>
        <w:rFonts w:ascii="Wingdings" w:hAnsi="Wingdings" w:hint="default"/>
      </w:rPr>
    </w:lvl>
  </w:abstractNum>
  <w:abstractNum w:abstractNumId="12" w15:restartNumberingAfterBreak="0">
    <w:nsid w:val="7F320502"/>
    <w:multiLevelType w:val="multilevel"/>
    <w:tmpl w:val="8B665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D324F1"/>
    <w:multiLevelType w:val="multilevel"/>
    <w:tmpl w:val="CAF81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2769553">
    <w:abstractNumId w:val="6"/>
  </w:num>
  <w:num w:numId="2" w16cid:durableId="1289896558">
    <w:abstractNumId w:val="11"/>
  </w:num>
  <w:num w:numId="3" w16cid:durableId="1545756838">
    <w:abstractNumId w:val="0"/>
  </w:num>
  <w:num w:numId="4" w16cid:durableId="1045905888">
    <w:abstractNumId w:val="2"/>
  </w:num>
  <w:num w:numId="5" w16cid:durableId="454836599">
    <w:abstractNumId w:val="10"/>
  </w:num>
  <w:num w:numId="6" w16cid:durableId="1117917495">
    <w:abstractNumId w:val="4"/>
  </w:num>
  <w:num w:numId="7" w16cid:durableId="482700353">
    <w:abstractNumId w:val="5"/>
  </w:num>
  <w:num w:numId="8" w16cid:durableId="1604922289">
    <w:abstractNumId w:val="8"/>
  </w:num>
  <w:num w:numId="9" w16cid:durableId="1574968641">
    <w:abstractNumId w:val="7"/>
  </w:num>
  <w:num w:numId="10" w16cid:durableId="276720536">
    <w:abstractNumId w:val="1"/>
  </w:num>
  <w:num w:numId="11" w16cid:durableId="1743257847">
    <w:abstractNumId w:val="13"/>
  </w:num>
  <w:num w:numId="12" w16cid:durableId="1660452281">
    <w:abstractNumId w:val="3"/>
  </w:num>
  <w:num w:numId="13" w16cid:durableId="1422333585">
    <w:abstractNumId w:val="9"/>
  </w:num>
  <w:num w:numId="14" w16cid:durableId="11527895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E4D"/>
    <w:rsid w:val="00085E4D"/>
    <w:rsid w:val="000B6DDF"/>
    <w:rsid w:val="001548C4"/>
    <w:rsid w:val="002253B6"/>
    <w:rsid w:val="002452B1"/>
    <w:rsid w:val="00251AB9"/>
    <w:rsid w:val="00416DC5"/>
    <w:rsid w:val="0048039E"/>
    <w:rsid w:val="00584C4A"/>
    <w:rsid w:val="0065430B"/>
    <w:rsid w:val="007E1DD8"/>
    <w:rsid w:val="0085715F"/>
    <w:rsid w:val="008744FE"/>
    <w:rsid w:val="008932A5"/>
    <w:rsid w:val="00895240"/>
    <w:rsid w:val="008F210D"/>
    <w:rsid w:val="00A03A9B"/>
    <w:rsid w:val="00A23A06"/>
    <w:rsid w:val="00AB3367"/>
    <w:rsid w:val="00AF1BE1"/>
    <w:rsid w:val="00B705F3"/>
    <w:rsid w:val="00CB5092"/>
    <w:rsid w:val="00D8050F"/>
    <w:rsid w:val="00DF334B"/>
    <w:rsid w:val="00E741D9"/>
    <w:rsid w:val="00E83710"/>
    <w:rsid w:val="00EF71AD"/>
    <w:rsid w:val="00F0180D"/>
    <w:rsid w:val="00F8155D"/>
    <w:rsid w:val="00FD1964"/>
    <w:rsid w:val="01483505"/>
    <w:rsid w:val="06F74B11"/>
    <w:rsid w:val="0A157CFC"/>
    <w:rsid w:val="112278CE"/>
    <w:rsid w:val="116048D8"/>
    <w:rsid w:val="174075CE"/>
    <w:rsid w:val="25431879"/>
    <w:rsid w:val="35E61B9F"/>
    <w:rsid w:val="3671613E"/>
    <w:rsid w:val="4D1E29DE"/>
    <w:rsid w:val="59C1678B"/>
    <w:rsid w:val="65624D19"/>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AD706"/>
  <w15:docId w15:val="{6B579125-CCA2-425B-BDEB-23C5BFBD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E741D9"/>
    <w:pPr>
      <w:keepNext/>
      <w:keepLines/>
      <w:spacing w:before="340" w:after="330" w:line="576" w:lineRule="auto"/>
      <w:outlineLvl w:val="0"/>
    </w:pPr>
    <w:rPr>
      <w:rFonts w:eastAsiaTheme="majorEastAsia"/>
      <w:b/>
      <w:kern w:val="44"/>
      <w:sz w:val="32"/>
    </w:rPr>
  </w:style>
  <w:style w:type="paragraph" w:styleId="2">
    <w:name w:val="heading 2"/>
    <w:basedOn w:val="a"/>
    <w:next w:val="a"/>
    <w:link w:val="20"/>
    <w:unhideWhenUsed/>
    <w:qFormat/>
    <w:rsid w:val="00F8155D"/>
    <w:pPr>
      <w:spacing w:beforeAutospacing="1" w:afterAutospacing="1"/>
      <w:jc w:val="left"/>
      <w:outlineLvl w:val="1"/>
    </w:pPr>
    <w:rPr>
      <w:rFonts w:ascii="宋体" w:eastAsia="黑体" w:hAnsi="宋体" w:cs="Times New Roman" w:hint="eastAsia"/>
      <w:b/>
      <w:bCs/>
      <w:kern w:val="0"/>
      <w:sz w:val="32"/>
      <w:szCs w:val="36"/>
    </w:rPr>
  </w:style>
  <w:style w:type="paragraph" w:styleId="3">
    <w:name w:val="heading 3"/>
    <w:basedOn w:val="a"/>
    <w:next w:val="a"/>
    <w:link w:val="30"/>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link w:val="40"/>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Pr>
      <w:b/>
    </w:rPr>
  </w:style>
  <w:style w:type="paragraph" w:styleId="a5">
    <w:name w:val="header"/>
    <w:basedOn w:val="a"/>
    <w:link w:val="a6"/>
    <w:rsid w:val="00D8050F"/>
    <w:pPr>
      <w:tabs>
        <w:tab w:val="center" w:pos="4153"/>
        <w:tab w:val="right" w:pos="8306"/>
      </w:tabs>
      <w:snapToGrid w:val="0"/>
      <w:jc w:val="center"/>
    </w:pPr>
    <w:rPr>
      <w:sz w:val="18"/>
      <w:szCs w:val="18"/>
    </w:rPr>
  </w:style>
  <w:style w:type="character" w:customStyle="1" w:styleId="a6">
    <w:name w:val="页眉 字符"/>
    <w:basedOn w:val="a0"/>
    <w:link w:val="a5"/>
    <w:rsid w:val="00D8050F"/>
    <w:rPr>
      <w:rFonts w:asciiTheme="minorHAnsi" w:eastAsiaTheme="minorEastAsia" w:hAnsiTheme="minorHAnsi" w:cstheme="minorBidi"/>
      <w:kern w:val="2"/>
      <w:sz w:val="18"/>
      <w:szCs w:val="18"/>
    </w:rPr>
  </w:style>
  <w:style w:type="paragraph" w:styleId="a7">
    <w:name w:val="footer"/>
    <w:basedOn w:val="a"/>
    <w:link w:val="a8"/>
    <w:rsid w:val="00D8050F"/>
    <w:pPr>
      <w:tabs>
        <w:tab w:val="center" w:pos="4153"/>
        <w:tab w:val="right" w:pos="8306"/>
      </w:tabs>
      <w:snapToGrid w:val="0"/>
      <w:jc w:val="left"/>
    </w:pPr>
    <w:rPr>
      <w:sz w:val="18"/>
      <w:szCs w:val="18"/>
    </w:rPr>
  </w:style>
  <w:style w:type="character" w:customStyle="1" w:styleId="a8">
    <w:name w:val="页脚 字符"/>
    <w:basedOn w:val="a0"/>
    <w:link w:val="a7"/>
    <w:rsid w:val="00D8050F"/>
    <w:rPr>
      <w:rFonts w:asciiTheme="minorHAnsi" w:eastAsiaTheme="minorEastAsia" w:hAnsiTheme="minorHAnsi" w:cstheme="minorBidi"/>
      <w:kern w:val="2"/>
      <w:sz w:val="18"/>
      <w:szCs w:val="18"/>
    </w:rPr>
  </w:style>
  <w:style w:type="character" w:customStyle="1" w:styleId="20">
    <w:name w:val="标题 2 字符"/>
    <w:basedOn w:val="a0"/>
    <w:link w:val="2"/>
    <w:rsid w:val="00F8155D"/>
    <w:rPr>
      <w:rFonts w:ascii="宋体" w:eastAsia="黑体" w:hAnsi="宋体"/>
      <w:b/>
      <w:bCs/>
      <w:sz w:val="32"/>
      <w:szCs w:val="36"/>
    </w:rPr>
  </w:style>
  <w:style w:type="character" w:customStyle="1" w:styleId="30">
    <w:name w:val="标题 3 字符"/>
    <w:basedOn w:val="a0"/>
    <w:link w:val="3"/>
    <w:rsid w:val="00F0180D"/>
    <w:rPr>
      <w:rFonts w:ascii="宋体" w:hAnsi="宋体"/>
      <w:b/>
      <w:bCs/>
      <w:sz w:val="27"/>
      <w:szCs w:val="27"/>
    </w:rPr>
  </w:style>
  <w:style w:type="character" w:customStyle="1" w:styleId="40">
    <w:name w:val="标题 4 字符"/>
    <w:basedOn w:val="a0"/>
    <w:link w:val="4"/>
    <w:semiHidden/>
    <w:rsid w:val="00F0180D"/>
    <w:rPr>
      <w:rFonts w:ascii="宋体" w:hAnsi="宋体"/>
      <w:b/>
      <w:bCs/>
      <w:sz w:val="24"/>
      <w:szCs w:val="24"/>
    </w:rPr>
  </w:style>
  <w:style w:type="paragraph" w:styleId="a9">
    <w:name w:val="Normal (Web)"/>
    <w:basedOn w:val="a"/>
    <w:qFormat/>
    <w:rsid w:val="00F0180D"/>
    <w:pPr>
      <w:spacing w:beforeAutospacing="1" w:afterAutospacing="1"/>
      <w:jc w:val="left"/>
    </w:pPr>
    <w:rPr>
      <w:kern w:val="0"/>
      <w:sz w:val="24"/>
    </w:rPr>
  </w:style>
  <w:style w:type="table" w:styleId="aa">
    <w:name w:val="Grid Table Light"/>
    <w:basedOn w:val="a1"/>
    <w:uiPriority w:val="40"/>
    <w:rsid w:val="0085715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8</Pages>
  <Words>1650</Words>
  <Characters>1717</Characters>
  <Application>Microsoft Office Word</Application>
  <DocSecurity>0</DocSecurity>
  <Lines>101</Lines>
  <Paragraphs>140</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奇超 张</cp:lastModifiedBy>
  <cp:revision>22</cp:revision>
  <dcterms:created xsi:type="dcterms:W3CDTF">2026-07-06T07:38:00Z</dcterms:created>
  <dcterms:modified xsi:type="dcterms:W3CDTF">2026-07-09T11:01:00Z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eyJoZGlkIjoiZGJiZGY2MjVmZmZkYTY5N2FiOWRjZGE2ZDhmYzcyOWYiLCJ1c2VySWQiOiI5MTE3NDQ3NDcifQ==</vt:lpwstr>
  </property>
  <property fmtid="{D5CDD505-2E9C-101B-9397-08002B2CF9AE}" pid="4" name="ICV">
    <vt:lpwstr>A5C2E4382E4140C58D48ABE00DC14282_12</vt:lpwstr>
  </property>
</Properties>
</file>